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微软雅黑" w:hAnsi="仿宋_GB2312;微软雅黑" w:eastAsia="仿宋_GB2312;微软雅黑"/>
          <w:b/>
          <w:sz w:val="36"/>
          <w:szCs w:val="36"/>
          <w:lang w:val="zh-CN"/>
        </w:rPr>
      </w:pPr>
      <w:r>
        <w:pict>
          <v:shape id="AutoShape 6" o:spid="_x0000_s1028" o:spt="136" type="#_x0000_t136" style="position:absolute;left:0pt;margin-left:42.7pt;margin-top:-12.05pt;height:45.65pt;width:394.45pt;z-index:-251657216;mso-width-relative:page;mso-height-relative:page;" fillcolor="#FF0000" filled="t" coordsize="21600,21600">
            <v:path/>
            <v:fill on="t" focussize="0,0"/>
            <v:stroke color="#FF0000"/>
            <v:imagedata o:title=""/>
            <o:lock v:ext="edit"/>
            <v:textpath on="t" fitshape="t" fitpath="t" trim="t" xscale="f" string="中国化工企业管理协会医药化工专业委员会" style="font-family:宋体;font-size:36pt;v-text-align:center;"/>
          </v:shape>
        </w:pict>
      </w:r>
      <w:r>
        <w:rPr>
          <w:rFonts w:ascii="仿宋_GB2312;微软雅黑" w:hAnsi="仿宋_GB2312;微软雅黑" w:eastAsia="仿宋_GB2312;微软雅黑"/>
          <w:b/>
          <w:sz w:val="36"/>
          <w:szCs w:val="36"/>
          <w:lang w:val="zh-CN"/>
        </w:rPr>
        <w:pict>
          <v:shape id="shape_0" o:spid="_x0000_s1026" o:spt="136" type="#_x0000_t136" style="position:absolute;left:0pt;margin-left:39.85pt;margin-top:9.7pt;height:45.6pt;width:394.4pt;z-index:251658240;mso-width-relative:page;mso-height-relative:page;" fillcolor="#FF0000" filled="t" stroked="t" coordsize="21600,21600">
            <v:path/>
            <v:fill on="t" focussize="0,0"/>
            <v:stroke weight="0.602992125984252pt" color="#FF0000" joinstyle="miter" endcap="square"/>
            <v:imagedata o:title=""/>
            <o:lock v:ext="edit"/>
            <v:textpath on="t" fitshape="t" fitpath="t" trim="t" xscale="f" string="" style="font-size:36pt;v-text-align:center;"/>
          </v:shape>
        </w:pict>
      </w:r>
    </w:p>
    <w:p>
      <w:pPr>
        <w:spacing w:line="400" w:lineRule="exact"/>
        <w:rPr>
          <w:rFonts w:ascii="仿宋_GB2312;微软雅黑" w:hAnsi="仿宋_GB2312;微软雅黑" w:eastAsia="仿宋_GB2312;微软雅黑"/>
          <w:b/>
          <w:sz w:val="36"/>
          <w:szCs w:val="36"/>
        </w:rPr>
      </w:pPr>
    </w:p>
    <w:p>
      <w:pPr>
        <w:spacing w:line="400" w:lineRule="exact"/>
        <w:rPr>
          <w:rFonts w:ascii="仿宋_GB2312;微软雅黑" w:hAnsi="仿宋_GB2312;微软雅黑" w:eastAsia="仿宋_GB2312;微软雅黑"/>
          <w:b/>
          <w:sz w:val="36"/>
          <w:szCs w:val="36"/>
        </w:rPr>
      </w:pPr>
      <w:r>
        <w:rPr>
          <w:rFonts w:ascii="仿宋_GB2312;微软雅黑" w:hAnsi="仿宋_GB2312;微软雅黑" w:eastAsia="仿宋_GB2312;微软雅黑"/>
          <w:b/>
          <w:sz w:val="36"/>
          <w:szCs w:val="36"/>
        </w:rPr>
        <w:pict>
          <v:shape id="_x0000_s1027" o:spid="_x0000_s1027" o:spt="136" type="#_x0000_t136" style="position:absolute;left:0pt;margin-left:40.6pt;margin-top:15.35pt;height:44.05pt;width:395.75pt;z-index:251658240;mso-width-relative:page;mso-height-relative:page;" fillcolor="#FF0000" filled="t" stroked="t" coordsize="21600,21600">
            <v:path/>
            <v:fill on="t" focussize="0,0"/>
            <v:stroke weight="0.602992125984252pt" color="#FF0000" joinstyle="miter" endcap="square"/>
            <v:imagedata o:title=""/>
            <o:lock v:ext="edit"/>
            <v:textpath on="t" fitshape="t" fitpath="t" trim="t" xscale="f" string="" style="font-size:36pt;v-text-align:center;"/>
          </v:shape>
        </w:pict>
      </w:r>
    </w:p>
    <w:p>
      <w:pPr>
        <w:rPr>
          <w:rFonts w:ascii="仿宋_GB2312;微软雅黑" w:hAnsi="仿宋_GB2312;微软雅黑" w:eastAsia="仿宋_GB2312;微软雅黑"/>
          <w:b/>
          <w:color w:val="000000"/>
          <w:w w:val="90"/>
          <w:sz w:val="32"/>
          <w:szCs w:val="36"/>
        </w:rPr>
      </w:pPr>
      <w:r>
        <w:pict>
          <v:shape id="AutoShape 2" o:spid="_x0000_s1029" o:spt="136" type="#_x0000_t136" style="position:absolute;left:0pt;margin-left:41.35pt;margin-top:-19.6pt;height:44.1pt;width:395.8pt;z-index:251662336;mso-width-relative:page;mso-height-relative:page;" fillcolor="#FF0000" filled="t" coordsize="21600,21600">
            <v:path/>
            <v:fill on="t" focussize="0,0"/>
            <v:stroke color="#FF0000"/>
            <v:imagedata o:title=""/>
            <o:lock v:ext="edit"/>
            <v:textpath on="t" fitshape="t" fitpath="t" trim="t" xscale="f" string="全国医药技术市场协会" style="font-family:宋体;font-size:40pt;v-text-align:center;"/>
          </v:shape>
        </w:pict>
      </w:r>
    </w:p>
    <w:p>
      <w:pPr>
        <w:rPr>
          <w:rFonts w:ascii="宋体;SimSun" w:hAnsi="宋体;SimSun" w:cs="宋体;SimSun"/>
          <w:b/>
          <w:bCs/>
          <w:sz w:val="36"/>
          <w:szCs w:val="36"/>
        </w:rPr>
      </w:pPr>
      <w:r>
        <mc:AlternateContent>
          <mc:Choice Requires="wps">
            <w:drawing>
              <wp:anchor distT="0" distB="0" distL="114935" distR="114935" simplePos="0" relativeHeight="1024" behindDoc="0" locked="0" layoutInCell="1" allowOverlap="1">
                <wp:simplePos x="0" y="0"/>
                <wp:positionH relativeFrom="column">
                  <wp:posOffset>-8890</wp:posOffset>
                </wp:positionH>
                <wp:positionV relativeFrom="paragraph">
                  <wp:posOffset>359410</wp:posOffset>
                </wp:positionV>
                <wp:extent cx="6058535" cy="1270"/>
                <wp:effectExtent l="0" t="0" r="0" b="0"/>
                <wp:wrapNone/>
                <wp:docPr id="3" name="Line 3"/>
                <wp:cNvGraphicFramePr/>
                <a:graphic xmlns:a="http://schemas.openxmlformats.org/drawingml/2006/main">
                  <a:graphicData uri="http://schemas.microsoft.com/office/word/2010/wordprocessingShape">
                    <wps:wsp>
                      <wps:cNvCnPr/>
                      <wps:spPr>
                        <a:xfrm>
                          <a:off x="0" y="0"/>
                          <a:ext cx="6058080" cy="720"/>
                        </a:xfrm>
                        <a:prstGeom prst="line">
                          <a:avLst/>
                        </a:prstGeom>
                        <a:ln w="19080">
                          <a:solidFill>
                            <a:srgbClr val="FF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line id="Line 3" o:spid="_x0000_s1026" o:spt="20" style="position:absolute;left:0pt;margin-left:-0.7pt;margin-top:28.3pt;height:0.1pt;width:477.05pt;z-index:1024;mso-width-relative:page;mso-height-relative:page;" filled="f" stroked="t" coordsize="21600,21600" o:gfxdata="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NLj3E2QAAAAgBAAAPAAAAAAAAAAEAIAAAACIAAABkcnMvZG93&#10;bnJldi54bWxQSwECFAAUAAAACACHTuJA1RSbX40BAAAUAwAADgAAAAAAAAABACAAAAAoAQAAZHJz&#10;L2Uyb0RvYy54bWxQSwUGAAAAAAYABgBZAQAAJwUAAAAA&#10;">
                <v:fill on="f" focussize="0,0"/>
                <v:stroke weight="1.50236220472441pt" color="#FF0000" joinstyle="miter"/>
                <v:imagedata o:title=""/>
                <o:lock v:ext="edit" aspectratio="f"/>
              </v:line>
            </w:pict>
          </mc:Fallback>
        </mc:AlternateContent>
      </w:r>
      <w:r>
        <w:rPr>
          <w:rFonts w:ascii="仿宋_GB2312;微软雅黑" w:hAnsi="仿宋_GB2312;微软雅黑" w:eastAsia="仿宋_GB2312;微软雅黑" w:cs="仿宋_GB2312;微软雅黑"/>
          <w:color w:val="000000"/>
          <w:w w:val="90"/>
          <w:sz w:val="32"/>
          <w:szCs w:val="32"/>
        </w:rPr>
        <w:t xml:space="preserve">                   </w:t>
      </w:r>
      <w:r>
        <w:rPr>
          <w:rFonts w:ascii="仿宋_GB2312;微软雅黑" w:hAnsi="仿宋_GB2312;微软雅黑" w:eastAsia="仿宋_GB2312;微软雅黑"/>
          <w:color w:val="000000"/>
          <w:w w:val="90"/>
          <w:sz w:val="32"/>
          <w:szCs w:val="32"/>
        </w:rPr>
        <w:t>中化药专字[2018]0</w:t>
      </w:r>
      <w:r>
        <w:rPr>
          <w:rFonts w:hint="eastAsia" w:ascii="仿宋_GB2312;微软雅黑" w:hAnsi="仿宋_GB2312;微软雅黑" w:eastAsia="仿宋_GB2312;微软雅黑"/>
          <w:color w:val="000000"/>
          <w:w w:val="90"/>
          <w:sz w:val="32"/>
          <w:szCs w:val="32"/>
          <w:lang w:val="en-US" w:eastAsia="zh-CN"/>
        </w:rPr>
        <w:t>57</w:t>
      </w:r>
      <w:r>
        <w:rPr>
          <w:rFonts w:ascii="仿宋_GB2312;微软雅黑" w:hAnsi="仿宋_GB2312;微软雅黑" w:eastAsia="仿宋_GB2312;微软雅黑"/>
          <w:color w:val="000000"/>
          <w:w w:val="90"/>
          <w:sz w:val="32"/>
          <w:szCs w:val="32"/>
        </w:rPr>
        <w:t>号</w:t>
      </w:r>
      <w:r>
        <w:rPr>
          <w:rFonts w:ascii="宋体;SimSun" w:hAnsi="宋体;SimSun" w:cs="宋体;SimSun"/>
          <w:sz w:val="36"/>
          <w:szCs w:val="36"/>
        </w:rPr>
        <w:t xml:space="preserve">                                                     </w:t>
      </w:r>
    </w:p>
    <w:p>
      <w:pPr>
        <w:spacing w:line="520" w:lineRule="exact"/>
        <w:rPr>
          <w:rFonts w:hint="eastAsia" w:ascii="宋体;SimSun" w:hAnsi="宋体;SimSun" w:cs="宋体;SimSun"/>
          <w:b/>
          <w:bCs/>
          <w:color w:val="auto"/>
          <w:sz w:val="32"/>
          <w:szCs w:val="32"/>
          <w:lang w:eastAsia="zh-CN" w:bidi="ar-SA"/>
        </w:rPr>
      </w:pPr>
      <w:r>
        <w:rPr>
          <w:rFonts w:ascii="宋体;SimSun" w:hAnsi="宋体;SimSun" w:cs="宋体;SimSun"/>
          <w:b/>
          <w:bCs/>
          <w:sz w:val="32"/>
          <w:szCs w:val="32"/>
        </w:rPr>
        <w:t xml:space="preserve">  关于举</w:t>
      </w:r>
      <w:r>
        <w:rPr>
          <w:rFonts w:ascii="宋体;SimSun" w:hAnsi="宋体;SimSun" w:eastAsia="宋体;SimSun" w:cs="宋体;SimSun"/>
          <w:b/>
          <w:bCs/>
          <w:color w:val="auto"/>
          <w:sz w:val="32"/>
          <w:szCs w:val="32"/>
          <w:lang w:eastAsia="zh-CN" w:bidi="ar-SA"/>
        </w:rPr>
        <w:t>办“无菌生产如何通过国内外cGMP认证”</w:t>
      </w:r>
      <w:r>
        <w:rPr>
          <w:rFonts w:hint="eastAsia" w:ascii="宋体;SimSun" w:hAnsi="宋体;SimSun" w:cs="宋体;SimSun"/>
          <w:b/>
          <w:bCs/>
          <w:color w:val="auto"/>
          <w:sz w:val="32"/>
          <w:szCs w:val="32"/>
          <w:lang w:eastAsia="zh-CN" w:bidi="ar-SA"/>
        </w:rPr>
        <w:t>专题培训班</w:t>
      </w:r>
    </w:p>
    <w:p>
      <w:pPr>
        <w:spacing w:line="520" w:lineRule="exact"/>
        <w:ind w:firstLine="4176" w:firstLineChars="1300"/>
      </w:pPr>
      <w:r>
        <w:rPr>
          <w:rFonts w:ascii="宋体;SimSun" w:hAnsi="宋体;SimSun" w:cs="宋体;SimSun"/>
          <w:b/>
          <w:bCs/>
          <w:sz w:val="32"/>
          <w:szCs w:val="32"/>
        </w:rPr>
        <w:t>的通知</w:t>
      </w:r>
    </w:p>
    <w:p>
      <w:pPr>
        <w:bidi w:val="0"/>
        <w:spacing w:before="249" w:beforeAutospacing="0" w:after="0" w:afterAutospacing="0" w:line="420" w:lineRule="exact"/>
        <w:ind w:right="0"/>
        <w:jc w:val="both"/>
        <w:rPr>
          <w:rFonts w:ascii="仿宋_GB2312;微软雅黑" w:hAnsi="仿宋_GB2312;微软雅黑" w:eastAsia="仿宋_GB2312;微软雅黑" w:cs="宋体;SimSun"/>
          <w:b/>
          <w:bCs/>
          <w:sz w:val="28"/>
          <w:szCs w:val="28"/>
          <w:lang w:eastAsia="zh-CN" w:bidi="ar-SA"/>
        </w:rPr>
      </w:pPr>
      <w:r>
        <w:rPr>
          <w:rFonts w:ascii="仿宋_GB2312;微软雅黑" w:hAnsi="仿宋_GB2312;微软雅黑" w:eastAsia="仿宋_GB2312;微软雅黑" w:cs="宋体;SimSun"/>
          <w:b/>
          <w:bCs/>
          <w:sz w:val="28"/>
          <w:szCs w:val="28"/>
          <w:lang w:eastAsia="zh-CN" w:bidi="ar-SA"/>
        </w:rPr>
        <w:t>各有关单位：</w:t>
      </w:r>
    </w:p>
    <w:p>
      <w:pPr>
        <w:bidi w:val="0"/>
        <w:spacing w:before="249" w:beforeAutospacing="0" w:after="0" w:afterAutospacing="0" w:line="420" w:lineRule="exact"/>
        <w:ind w:left="0" w:right="0" w:firstLine="540"/>
        <w:jc w:val="both"/>
        <w:rPr>
          <w:rFonts w:ascii="仿宋_GB2312;微软雅黑" w:hAnsi="仿宋_GB2312;微软雅黑" w:eastAsia="仿宋_GB2312;微软雅黑" w:cs="宋体;SimSun"/>
          <w:sz w:val="28"/>
          <w:szCs w:val="28"/>
          <w:lang w:eastAsia="zh-CN" w:bidi="ar-SA"/>
        </w:rPr>
      </w:pPr>
      <w:r>
        <w:rPr>
          <w:rFonts w:ascii="仿宋_GB2312;微软雅黑" w:hAnsi="仿宋_GB2312;微软雅黑" w:eastAsia="仿宋_GB2312;微软雅黑" w:cs="宋体;SimSun"/>
          <w:sz w:val="28"/>
          <w:szCs w:val="28"/>
          <w:lang w:eastAsia="zh-CN" w:bidi="ar-SA"/>
        </w:rPr>
        <w:t>无菌药品是指法定药品标准中列有无菌检查项目的制剂和原料药，一般包括注射剂、无菌原料药及滴眼剂等。无菌药品，在我们整体药品使用中占有相当大的比例，同口服剂型相比，如果无菌药品在生产过程中未做到有效的无菌保障，或在过程中引入了外来污染，则有很大可能会对患者或企业造成无法弥补的后果。</w:t>
      </w:r>
    </w:p>
    <w:p>
      <w:pPr>
        <w:bidi w:val="0"/>
        <w:spacing w:before="249" w:beforeAutospacing="0" w:after="0" w:afterAutospacing="0" w:line="420" w:lineRule="exact"/>
        <w:ind w:left="0" w:right="0" w:firstLine="540"/>
        <w:jc w:val="both"/>
        <w:rPr>
          <w:rFonts w:ascii="仿宋_GB2312;微软雅黑" w:hAnsi="仿宋_GB2312;微软雅黑" w:eastAsia="仿宋_GB2312;微软雅黑" w:cs="仿宋_GB2312;微软雅黑"/>
          <w:sz w:val="28"/>
          <w:szCs w:val="28"/>
          <w:lang w:eastAsia="zh-CN"/>
        </w:rPr>
      </w:pPr>
      <w:r>
        <w:rPr>
          <w:rFonts w:ascii="仿宋_GB2312;微软雅黑" w:hAnsi="仿宋_GB2312;微软雅黑" w:eastAsia="仿宋_GB2312;微软雅黑" w:cs="仿宋_GB2312;微软雅黑"/>
          <w:sz w:val="28"/>
          <w:szCs w:val="28"/>
          <w:lang w:eastAsia="zh-CN"/>
        </w:rPr>
        <w:t>根据卫生部令第79号《药品生产质量管理规范（2010年修订）》第三百一十条规定，CFDA发布了无菌药品附录，作为GMP的配套文件，自2011年3月1日起施行。与此同时，</w:t>
      </w:r>
      <w:r>
        <w:rPr>
          <w:rFonts w:ascii="仿宋_GB2312;微软雅黑" w:hAnsi="仿宋_GB2312;微软雅黑" w:eastAsia="仿宋_GB2312;微软雅黑" w:cs="宋体;SimSun"/>
          <w:sz w:val="28"/>
          <w:szCs w:val="28"/>
          <w:lang w:eastAsia="zh-CN" w:bidi="ar-SA"/>
        </w:rPr>
        <w:t>国内的大部分企业在无菌生产的控制中还存在诸多问题，例如，已经经过GMP认证的</w:t>
      </w:r>
      <w:r>
        <w:rPr>
          <w:rFonts w:ascii="仿宋_GB2312;微软雅黑" w:hAnsi="仿宋_GB2312;微软雅黑" w:eastAsia="仿宋_GB2312;微软雅黑" w:cs="仿宋_GB2312;微软雅黑"/>
          <w:sz w:val="28"/>
          <w:szCs w:val="28"/>
          <w:lang w:val="en-US"/>
        </w:rPr>
        <w:t>第一批1319家疫苗、血液制品等无菌药品生产企业中，仅60.3%顺利过关，其余523家药企全部被暂停生产。</w:t>
      </w:r>
    </w:p>
    <w:p>
      <w:pPr>
        <w:spacing w:before="249" w:beforeAutospacing="0" w:after="0" w:afterAutospacing="0" w:line="420" w:lineRule="exact"/>
        <w:ind w:left="0" w:right="0" w:firstLine="540"/>
        <w:jc w:val="both"/>
      </w:pPr>
      <w:r>
        <w:rPr>
          <w:rFonts w:ascii="仿宋_GB2312;微软雅黑" w:hAnsi="仿宋_GB2312;微软雅黑" w:eastAsia="仿宋_GB2312;微软雅黑" w:cs="仿宋_GB2312;微软雅黑"/>
          <w:sz w:val="28"/>
          <w:szCs w:val="28"/>
          <w:lang w:eastAsia="zh-CN"/>
        </w:rPr>
        <w:t>另外，2017年12月20日，欧盟委员会发布了原料药和制剂EU GMP附录1“无菌药品生产”修订草案征求公众意见，对无菌制剂的要求进行了诸多的更新，这给国内企业更是增加了工作难度。</w:t>
      </w:r>
    </w:p>
    <w:p>
      <w:pPr>
        <w:spacing w:before="249" w:after="0" w:line="420" w:lineRule="exact"/>
        <w:ind w:firstLine="540"/>
        <w:rPr>
          <w:rFonts w:ascii="仿宋_GB2312;微软雅黑" w:hAnsi="仿宋_GB2312;微软雅黑" w:eastAsia="仿宋_GB2312;微软雅黑" w:cs="宋体;SimSun"/>
          <w:b/>
          <w:bCs/>
          <w:sz w:val="28"/>
          <w:szCs w:val="28"/>
        </w:rPr>
      </w:pPr>
      <w:r>
        <w:rPr>
          <w:rFonts w:ascii="仿宋_GB2312;微软雅黑" w:hAnsi="仿宋_GB2312;微软雅黑" w:eastAsia="仿宋_GB2312;微软雅黑" w:cs="宋体;SimSun"/>
          <w:sz w:val="28"/>
          <w:szCs w:val="28"/>
        </w:rPr>
        <w:t>为了帮助相关企业、单位做好无菌生产的国内外cGMP认证工作，并重点解决无菌药品整个生命周期中的各种问题，从源头实现无菌保障效果，增强制药企业的核心竞争力，我单位定于2018年</w:t>
      </w:r>
      <w:r>
        <w:rPr>
          <w:rFonts w:hint="eastAsia" w:ascii="仿宋_GB2312;微软雅黑" w:hAnsi="仿宋_GB2312;微软雅黑" w:eastAsia="仿宋_GB2312;微软雅黑" w:cs="宋体;SimSun"/>
          <w:sz w:val="28"/>
          <w:szCs w:val="28"/>
          <w:lang w:val="en-US" w:eastAsia="zh-CN"/>
        </w:rPr>
        <w:t>8</w:t>
      </w:r>
      <w:r>
        <w:rPr>
          <w:rFonts w:ascii="仿宋_GB2312;微软雅黑" w:hAnsi="仿宋_GB2312;微软雅黑" w:eastAsia="仿宋_GB2312;微软雅黑" w:cs="宋体;SimSun"/>
          <w:sz w:val="28"/>
          <w:szCs w:val="28"/>
        </w:rPr>
        <w:t>月</w:t>
      </w:r>
      <w:r>
        <w:rPr>
          <w:rFonts w:hint="eastAsia" w:ascii="仿宋_GB2312;微软雅黑" w:hAnsi="仿宋_GB2312;微软雅黑" w:eastAsia="仿宋_GB2312;微软雅黑" w:cs="宋体;SimSun"/>
          <w:sz w:val="28"/>
          <w:szCs w:val="28"/>
          <w:lang w:val="en-US" w:eastAsia="zh-CN"/>
        </w:rPr>
        <w:t>17</w:t>
      </w:r>
      <w:r>
        <w:rPr>
          <w:rFonts w:ascii="仿宋_GB2312;微软雅黑" w:hAnsi="仿宋_GB2312;微软雅黑" w:eastAsia="仿宋_GB2312;微软雅黑" w:cs="宋体;SimSun"/>
          <w:sz w:val="28"/>
          <w:szCs w:val="28"/>
        </w:rPr>
        <w:t>-</w:t>
      </w:r>
      <w:r>
        <w:rPr>
          <w:rFonts w:hint="eastAsia" w:ascii="仿宋_GB2312;微软雅黑" w:hAnsi="仿宋_GB2312;微软雅黑" w:eastAsia="仿宋_GB2312;微软雅黑" w:cs="宋体;SimSun"/>
          <w:sz w:val="28"/>
          <w:szCs w:val="28"/>
          <w:lang w:val="en-US" w:eastAsia="zh-CN"/>
        </w:rPr>
        <w:t>19</w:t>
      </w:r>
      <w:r>
        <w:rPr>
          <w:rFonts w:ascii="仿宋_GB2312;微软雅黑" w:hAnsi="仿宋_GB2312;微软雅黑" w:eastAsia="仿宋_GB2312;微软雅黑" w:cs="宋体;SimSun"/>
          <w:sz w:val="28"/>
          <w:szCs w:val="28"/>
        </w:rPr>
        <w:t>日在</w:t>
      </w:r>
      <w:r>
        <w:rPr>
          <w:rFonts w:hint="eastAsia" w:ascii="仿宋_GB2312;微软雅黑" w:hAnsi="仿宋_GB2312;微软雅黑" w:eastAsia="仿宋_GB2312;微软雅黑" w:cs="宋体;SimSun"/>
          <w:sz w:val="28"/>
          <w:szCs w:val="28"/>
          <w:lang w:eastAsia="zh-CN"/>
        </w:rPr>
        <w:t>上海</w:t>
      </w:r>
      <w:r>
        <w:rPr>
          <w:rFonts w:ascii="仿宋_GB2312;微软雅黑" w:hAnsi="仿宋_GB2312;微软雅黑" w:eastAsia="仿宋_GB2312;微软雅黑" w:cs="宋体;SimSun"/>
          <w:sz w:val="28"/>
          <w:szCs w:val="28"/>
        </w:rPr>
        <w:t>市举办</w:t>
      </w:r>
      <w:r>
        <w:rPr>
          <w:rFonts w:ascii="仿宋_GB2312;微软雅黑" w:hAnsi="仿宋_GB2312;微软雅黑" w:eastAsia="仿宋_GB2312;微软雅黑" w:cs="宋体;SimSun"/>
          <w:b/>
          <w:bCs/>
          <w:sz w:val="28"/>
          <w:szCs w:val="28"/>
        </w:rPr>
        <w:t>“</w:t>
      </w:r>
      <w:r>
        <w:rPr>
          <w:rFonts w:ascii="仿宋_GB2312;微软雅黑" w:hAnsi="仿宋_GB2312;微软雅黑" w:eastAsia="仿宋_GB2312;微软雅黑" w:cs="宋体;SimSun"/>
          <w:sz w:val="28"/>
          <w:szCs w:val="28"/>
          <w:lang w:eastAsia="zh-CN"/>
        </w:rPr>
        <w:t>无菌生产如何通过国内外cGMP认证</w:t>
      </w:r>
      <w:r>
        <w:rPr>
          <w:rFonts w:hint="eastAsia" w:ascii="仿宋_GB2312;微软雅黑" w:hAnsi="仿宋_GB2312;微软雅黑" w:eastAsia="仿宋_GB2312;微软雅黑" w:cs="宋体;SimSun"/>
          <w:sz w:val="28"/>
          <w:szCs w:val="28"/>
          <w:lang w:eastAsia="zh-CN"/>
        </w:rPr>
        <w:t>专题培训班</w:t>
      </w:r>
      <w:r>
        <w:rPr>
          <w:rFonts w:ascii="仿宋_GB2312;微软雅黑" w:hAnsi="仿宋_GB2312;微软雅黑" w:eastAsia="仿宋_GB2312;微软雅黑" w:cs="宋体;SimSun"/>
          <w:sz w:val="28"/>
          <w:szCs w:val="28"/>
        </w:rPr>
        <w:t xml:space="preserve">” </w:t>
      </w:r>
      <w:r>
        <w:rPr>
          <w:rFonts w:ascii="仿宋_GB2312;微软雅黑" w:hAnsi="仿宋_GB2312;微软雅黑" w:eastAsia="仿宋_GB2312;微软雅黑" w:cs="宋体;SimSun"/>
          <w:b/>
          <w:bCs/>
          <w:sz w:val="28"/>
          <w:szCs w:val="28"/>
        </w:rPr>
        <w:t>。</w:t>
      </w:r>
      <w:r>
        <w:rPr>
          <w:rFonts w:ascii="仿宋_GB2312;微软雅黑" w:hAnsi="仿宋_GB2312;微软雅黑" w:eastAsia="仿宋_GB2312;微软雅黑" w:cs="宋体;SimSun"/>
          <w:sz w:val="28"/>
          <w:szCs w:val="28"/>
        </w:rPr>
        <w:t>现将有关培训事项通知如下：</w:t>
      </w:r>
    </w:p>
    <w:p>
      <w:pPr>
        <w:numPr>
          <w:ilvl w:val="0"/>
          <w:numId w:val="1"/>
        </w:numPr>
        <w:spacing w:line="420" w:lineRule="exact"/>
        <w:ind w:left="0" w:firstLine="562"/>
        <w:rPr>
          <w:rFonts w:ascii="黑体;SimHei" w:hAnsi="黑体;SimHei" w:eastAsia="黑体;SimHei" w:cs="黑体;SimHei"/>
          <w:b/>
          <w:sz w:val="28"/>
          <w:szCs w:val="28"/>
        </w:rPr>
      </w:pPr>
      <w:r>
        <w:rPr>
          <w:rFonts w:ascii="黑体;SimHei" w:hAnsi="黑体;SimHei" w:eastAsia="黑体;SimHei" w:cs="黑体;SimHei"/>
          <w:b/>
          <w:sz w:val="28"/>
          <w:szCs w:val="28"/>
        </w:rPr>
        <w:t>会议安排</w:t>
      </w:r>
    </w:p>
    <w:p>
      <w:pPr>
        <w:pStyle w:val="4"/>
        <w:spacing w:line="440" w:lineRule="exact"/>
      </w:pPr>
      <w:r>
        <w:rPr>
          <w:rFonts w:cs="仿宋_GB2312;微软雅黑"/>
          <w:b w:val="0"/>
          <w:bCs w:val="0"/>
        </w:rPr>
        <w:t xml:space="preserve"> </w:t>
      </w:r>
      <w:r>
        <w:rPr>
          <w:rFonts w:cs="宋体;SimSun"/>
          <w:b w:val="0"/>
          <w:bCs w:val="0"/>
        </w:rPr>
        <w:t>会议时间：2018年</w:t>
      </w:r>
      <w:r>
        <w:rPr>
          <w:rFonts w:hint="eastAsia" w:cs="宋体;SimSun"/>
          <w:b w:val="0"/>
          <w:bCs w:val="0"/>
          <w:lang w:val="en-US" w:eastAsia="zh-CN"/>
        </w:rPr>
        <w:t>8</w:t>
      </w:r>
      <w:r>
        <w:rPr>
          <w:rFonts w:cs="宋体;SimSun"/>
          <w:b w:val="0"/>
          <w:bCs w:val="0"/>
        </w:rPr>
        <w:t>月</w:t>
      </w:r>
      <w:r>
        <w:rPr>
          <w:rFonts w:hint="eastAsia" w:cs="宋体;SimSun"/>
          <w:b w:val="0"/>
          <w:bCs w:val="0"/>
          <w:lang w:val="en-US" w:eastAsia="zh-CN"/>
        </w:rPr>
        <w:t>17</w:t>
      </w:r>
      <w:r>
        <w:rPr>
          <w:rFonts w:cs="宋体;SimSun"/>
          <w:b w:val="0"/>
          <w:bCs w:val="0"/>
        </w:rPr>
        <w:t>-</w:t>
      </w:r>
      <w:r>
        <w:rPr>
          <w:rFonts w:hint="eastAsia" w:cs="宋体;SimSun"/>
          <w:b w:val="0"/>
          <w:bCs w:val="0"/>
          <w:lang w:val="en-US" w:eastAsia="zh-CN"/>
        </w:rPr>
        <w:t>19</w:t>
      </w:r>
      <w:r>
        <w:rPr>
          <w:rFonts w:cs="宋体;SimSun"/>
          <w:b w:val="0"/>
          <w:bCs w:val="0"/>
        </w:rPr>
        <w:t>日 (</w:t>
      </w:r>
      <w:r>
        <w:rPr>
          <w:rFonts w:hint="eastAsia" w:cs="宋体;SimSun"/>
          <w:b w:val="0"/>
          <w:bCs w:val="0"/>
          <w:lang w:val="en-US" w:eastAsia="zh-CN"/>
        </w:rPr>
        <w:t>17</w:t>
      </w:r>
      <w:r>
        <w:rPr>
          <w:rFonts w:cs="宋体;SimSun"/>
          <w:b w:val="0"/>
          <w:bCs w:val="0"/>
        </w:rPr>
        <w:t>日全天报到)</w:t>
      </w:r>
    </w:p>
    <w:p>
      <w:pPr>
        <w:pStyle w:val="4"/>
        <w:spacing w:line="440" w:lineRule="exact"/>
        <w:rPr>
          <w:rFonts w:cs="宋体;SimSun"/>
          <w:b w:val="0"/>
          <w:bCs w:val="0"/>
        </w:rPr>
      </w:pPr>
      <w:r>
        <w:rPr>
          <w:rFonts w:cs="仿宋_GB2312;微软雅黑"/>
          <w:b w:val="0"/>
          <w:bCs w:val="0"/>
        </w:rPr>
        <w:t xml:space="preserve"> </w:t>
      </w:r>
      <w:r>
        <w:rPr>
          <w:rFonts w:cs="宋体;SimSun"/>
          <w:b w:val="0"/>
          <w:bCs w:val="0"/>
        </w:rPr>
        <w:t>报到地点：</w:t>
      </w:r>
      <w:r>
        <w:rPr>
          <w:rFonts w:hint="eastAsia" w:cs="宋体;SimSun"/>
          <w:b w:val="0"/>
          <w:bCs w:val="0"/>
          <w:lang w:eastAsia="zh-CN"/>
        </w:rPr>
        <w:t>上海</w:t>
      </w:r>
      <w:r>
        <w:rPr>
          <w:rFonts w:cs="宋体;SimSun"/>
          <w:b w:val="0"/>
          <w:bCs w:val="0"/>
        </w:rPr>
        <w:t>市  (具体地点直接发给报名人员)</w:t>
      </w:r>
    </w:p>
    <w:p>
      <w:pPr>
        <w:spacing w:line="420" w:lineRule="exact"/>
        <w:ind w:firstLine="546"/>
        <w:rPr>
          <w:rFonts w:ascii="黑体;SimHei" w:hAnsi="黑体;SimHei" w:eastAsia="黑体;SimHei" w:cs="宋体;SimSun"/>
          <w:b/>
          <w:bCs/>
          <w:spacing w:val="-4"/>
          <w:kern w:val="0"/>
          <w:sz w:val="28"/>
          <w:szCs w:val="28"/>
        </w:rPr>
      </w:pPr>
      <w:r>
        <w:rPr>
          <w:rFonts w:ascii="黑体;SimHei" w:hAnsi="黑体;SimHei" w:eastAsia="黑体;SimHei" w:cs="宋体;SimSun"/>
          <w:b/>
          <w:bCs/>
          <w:spacing w:val="-4"/>
          <w:kern w:val="0"/>
          <w:sz w:val="28"/>
          <w:szCs w:val="28"/>
        </w:rPr>
        <w:t>二、会议主要交流内容（详见课程安排表）</w:t>
      </w:r>
    </w:p>
    <w:p>
      <w:pPr>
        <w:spacing w:line="420" w:lineRule="exact"/>
        <w:ind w:firstLine="546"/>
        <w:rPr>
          <w:rFonts w:ascii="黑体;SimHei" w:hAnsi="黑体;SimHei" w:eastAsia="黑体;SimHei" w:cs="宋体;SimSun"/>
          <w:b/>
          <w:bCs/>
          <w:spacing w:val="-4"/>
          <w:kern w:val="0"/>
          <w:sz w:val="28"/>
          <w:szCs w:val="28"/>
        </w:rPr>
      </w:pPr>
      <w:r>
        <w:rPr>
          <w:rFonts w:ascii="黑体;SimHei" w:hAnsi="黑体;SimHei" w:eastAsia="黑体;SimHei" w:cs="宋体;SimSun"/>
          <w:b/>
          <w:bCs/>
          <w:spacing w:val="-4"/>
          <w:kern w:val="0"/>
          <w:sz w:val="28"/>
          <w:szCs w:val="28"/>
        </w:rPr>
        <w:t>三、专家讲师简介</w:t>
      </w:r>
    </w:p>
    <w:p>
      <w:pPr>
        <w:spacing w:line="420" w:lineRule="exact"/>
        <w:ind w:firstLine="546"/>
        <w:rPr>
          <w:rFonts w:hint="eastAsia" w:ascii="黑体;SimHei" w:hAnsi="黑体;SimHei" w:eastAsia="黑体;SimHei" w:cs="宋体;SimSun"/>
          <w:sz w:val="28"/>
          <w:szCs w:val="28"/>
          <w:lang w:val="en-US" w:eastAsia="zh-CN"/>
        </w:rPr>
      </w:pPr>
      <w:r>
        <w:rPr>
          <w:rFonts w:hint="eastAsia" w:ascii="黑体;SimHei" w:hAnsi="黑体;SimHei" w:eastAsia="黑体;SimHei" w:cs="宋体;SimSun"/>
          <w:sz w:val="28"/>
          <w:szCs w:val="28"/>
          <w:lang w:val="en-US" w:eastAsia="zh-CN"/>
        </w:rPr>
        <w:t xml:space="preserve"> 1、高老师 资深专家 国家GMP认证中心专家、CFDA高级研修学院特聘讲师、广东省药品生产质量受权人专业委员会副主任委员。CFDA检查员培训讲师。高老师任职的企业是按照欧盟cGMP标准建造并率先通过欧盟cGMP认证的现代化制药企业。是国内首家非终端灭菌制剂通过欧盟cGMP认证的中国制药企业，也是迄今唯一一家连续十年以上无菌制剂产品批量出口世界主流市场的中国制药企业。协会特聘专家。</w:t>
      </w:r>
    </w:p>
    <w:p>
      <w:pPr>
        <w:spacing w:line="420" w:lineRule="exact"/>
        <w:ind w:firstLine="560" w:firstLineChars="200"/>
        <w:rPr>
          <w:rFonts w:hint="eastAsia" w:ascii="黑体;SimHei" w:hAnsi="黑体;SimHei" w:eastAsia="黑体;SimHei" w:cs="宋体;SimSun"/>
          <w:sz w:val="28"/>
          <w:szCs w:val="28"/>
          <w:lang w:val="en-US" w:eastAsia="zh-CN"/>
        </w:rPr>
      </w:pPr>
      <w:r>
        <w:rPr>
          <w:rFonts w:hint="eastAsia" w:ascii="黑体;SimHei" w:hAnsi="黑体;SimHei" w:eastAsia="黑体;SimHei" w:cs="宋体;SimSun"/>
          <w:sz w:val="28"/>
          <w:szCs w:val="28"/>
          <w:lang w:val="en-US" w:eastAsia="zh-CN"/>
        </w:rPr>
        <w:t>2、刘老师 资深GMP培训专家，曾任职于国内著名药企及外资企业高管；近20年化药、生物疫苗、生物蛋白、生物多肽类药物研发、生产、GMP管理的丰富实践经验，亲自参加过多次FDA 、WHO、TGA和CEP认证及国内的检查。大量接触第一线的实际问题，具有丰富的分析问题和解决问题的能力和经验。</w:t>
      </w:r>
    </w:p>
    <w:p>
      <w:pPr>
        <w:spacing w:line="420" w:lineRule="exact"/>
        <w:rPr>
          <w:rFonts w:hint="eastAsia" w:ascii="黑体;SimHei" w:hAnsi="黑体;SimHei" w:eastAsia="黑体;SimHei" w:cs="宋体;SimSun"/>
          <w:sz w:val="28"/>
          <w:szCs w:val="28"/>
          <w:lang w:val="en-US" w:eastAsia="zh-CN"/>
        </w:rPr>
      </w:pPr>
      <w:r>
        <w:rPr>
          <w:rFonts w:hint="eastAsia" w:ascii="黑体;SimHei" w:hAnsi="黑体;SimHei" w:eastAsia="黑体;SimHei" w:cs="宋体;SimSun"/>
          <w:sz w:val="28"/>
          <w:szCs w:val="28"/>
          <w:lang w:val="en-US" w:eastAsia="zh-CN"/>
        </w:rPr>
        <w:t>SFDA高研院特聘讲师以及多家协会特聘专家。多次参加国家、省市对生物制品注册及生产体系核查。曾对上海松力、上海科华生物、海王生物进行体系培训和构建。协会特聘专家。</w:t>
      </w:r>
    </w:p>
    <w:p>
      <w:pPr>
        <w:spacing w:line="420" w:lineRule="exact"/>
        <w:ind w:firstLine="546"/>
      </w:pPr>
      <w:r>
        <w:rPr>
          <w:rFonts w:hint="eastAsia" w:ascii="黑体;SimHei" w:hAnsi="黑体;SimHei" w:eastAsia="黑体;SimHei" w:cs="宋体;SimSun"/>
          <w:b/>
          <w:bCs/>
          <w:spacing w:val="-4"/>
          <w:kern w:val="0"/>
          <w:sz w:val="28"/>
          <w:szCs w:val="28"/>
          <w:lang w:eastAsia="zh-CN"/>
        </w:rPr>
        <w:t>四</w:t>
      </w:r>
      <w:r>
        <w:rPr>
          <w:rFonts w:ascii="黑体;SimHei" w:hAnsi="黑体;SimHei" w:eastAsia="黑体;SimHei" w:cs="宋体;SimSun"/>
          <w:b/>
          <w:bCs/>
          <w:spacing w:val="-4"/>
          <w:kern w:val="0"/>
          <w:sz w:val="28"/>
          <w:szCs w:val="28"/>
        </w:rPr>
        <w:t>、参会对象</w:t>
      </w:r>
    </w:p>
    <w:p>
      <w:pPr>
        <w:spacing w:line="420" w:lineRule="exact"/>
        <w:ind w:firstLine="533"/>
        <w:rPr>
          <w:rFonts w:ascii="黑体;SimHei" w:hAnsi="黑体;SimHei" w:eastAsia="黑体;SimHei" w:cs="宋体;SimSun"/>
          <w:sz w:val="28"/>
          <w:szCs w:val="28"/>
        </w:rPr>
      </w:pPr>
      <w:r>
        <w:rPr>
          <w:rFonts w:ascii="黑体;SimHei" w:hAnsi="黑体;SimHei" w:eastAsia="黑体;SimHei" w:cs="宋体;SimSun"/>
          <w:spacing w:val="-4"/>
          <w:kern w:val="0"/>
          <w:sz w:val="28"/>
          <w:szCs w:val="28"/>
        </w:rPr>
        <w:t>各药品研究单位及药品生产企业，</w:t>
      </w:r>
      <w:r>
        <w:rPr>
          <w:rFonts w:hint="eastAsia" w:ascii="黑体;SimHei" w:hAnsi="黑体;SimHei" w:eastAsia="黑体;SimHei" w:cs="宋体;SimSun"/>
          <w:spacing w:val="-4"/>
          <w:kern w:val="0"/>
          <w:sz w:val="28"/>
          <w:szCs w:val="28"/>
          <w:lang w:eastAsia="zh-CN"/>
        </w:rPr>
        <w:t>无菌</w:t>
      </w:r>
      <w:r>
        <w:rPr>
          <w:rFonts w:ascii="黑体;SimHei" w:hAnsi="黑体;SimHei" w:eastAsia="黑体;SimHei" w:cs="宋体;SimSun"/>
          <w:spacing w:val="-4"/>
          <w:kern w:val="0"/>
          <w:sz w:val="28"/>
          <w:szCs w:val="28"/>
        </w:rPr>
        <w:t>制剂研发、质量、注册及项目管理、研发QA；新药研发CRO等中高层管理人员及研究负责人。</w:t>
      </w:r>
    </w:p>
    <w:p>
      <w:pPr>
        <w:spacing w:line="420" w:lineRule="exact"/>
        <w:ind w:firstLine="535"/>
        <w:rPr>
          <w:rFonts w:ascii="黑体;SimHei" w:hAnsi="黑体;SimHei" w:eastAsia="黑体;SimHei"/>
          <w:b/>
          <w:bCs/>
          <w:sz w:val="28"/>
          <w:szCs w:val="28"/>
        </w:rPr>
      </w:pPr>
      <w:r>
        <w:rPr>
          <w:rFonts w:hint="eastAsia" w:ascii="黑体;SimHei" w:hAnsi="黑体;SimHei" w:eastAsia="黑体;SimHei" w:cs="宋体;SimSun"/>
          <w:b/>
          <w:bCs/>
          <w:spacing w:val="-4"/>
          <w:kern w:val="0"/>
          <w:sz w:val="28"/>
          <w:szCs w:val="28"/>
          <w:lang w:eastAsia="zh-CN"/>
        </w:rPr>
        <w:t>五</w:t>
      </w:r>
      <w:r>
        <w:rPr>
          <w:rFonts w:ascii="黑体;SimHei" w:hAnsi="黑体;SimHei" w:eastAsia="黑体;SimHei" w:cs="宋体;SimSun"/>
          <w:b/>
          <w:bCs/>
          <w:spacing w:val="-4"/>
          <w:kern w:val="0"/>
          <w:sz w:val="28"/>
          <w:szCs w:val="28"/>
        </w:rPr>
        <w:t>、会议说明</w:t>
      </w:r>
    </w:p>
    <w:p>
      <w:pPr>
        <w:pStyle w:val="4"/>
        <w:tabs>
          <w:tab w:val="left" w:pos="1440"/>
        </w:tabs>
        <w:spacing w:line="470" w:lineRule="exact"/>
        <w:rPr>
          <w:rFonts w:cs="宋体;SimSun"/>
          <w:b w:val="0"/>
          <w:bCs w:val="0"/>
        </w:rPr>
      </w:pPr>
      <w:r>
        <w:rPr>
          <w:rFonts w:cs="宋体;SimSun"/>
          <w:b w:val="0"/>
          <w:bCs w:val="0"/>
        </w:rPr>
        <w:t>1、理论讲解,实例分析,专题讲授,互动答疑.</w:t>
      </w:r>
    </w:p>
    <w:p>
      <w:pPr>
        <w:pStyle w:val="4"/>
        <w:tabs>
          <w:tab w:val="left" w:pos="1440"/>
        </w:tabs>
        <w:spacing w:line="470" w:lineRule="exact"/>
        <w:rPr>
          <w:rFonts w:cs="宋体;SimSun"/>
          <w:b w:val="0"/>
          <w:bCs w:val="0"/>
        </w:rPr>
      </w:pPr>
      <w:r>
        <w:rPr>
          <w:rFonts w:hint="eastAsia" w:cs="宋体;SimSun"/>
          <w:b w:val="0"/>
          <w:bCs w:val="0"/>
          <w:lang w:val="en-US" w:eastAsia="zh-CN"/>
        </w:rPr>
        <w:t>2</w:t>
      </w:r>
      <w:r>
        <w:rPr>
          <w:rFonts w:cs="宋体;SimSun"/>
          <w:b w:val="0"/>
          <w:bCs w:val="0"/>
        </w:rPr>
        <w:t>、完成全部培训课程者由协会颁发培训证书</w:t>
      </w:r>
    </w:p>
    <w:p>
      <w:pPr>
        <w:pStyle w:val="4"/>
        <w:tabs>
          <w:tab w:val="left" w:pos="1440"/>
        </w:tabs>
        <w:spacing w:line="470" w:lineRule="exact"/>
        <w:rPr>
          <w:rFonts w:cs="宋体;SimSun"/>
          <w:b w:val="0"/>
          <w:bCs w:val="0"/>
        </w:rPr>
      </w:pPr>
      <w:r>
        <w:rPr>
          <w:rFonts w:hint="eastAsia" w:cs="宋体;SimSun"/>
          <w:b w:val="0"/>
          <w:bCs w:val="0"/>
          <w:lang w:val="en-US" w:eastAsia="zh-CN"/>
        </w:rPr>
        <w:t>3</w:t>
      </w:r>
      <w:r>
        <w:rPr>
          <w:rFonts w:cs="宋体;SimSun"/>
          <w:b w:val="0"/>
          <w:bCs w:val="0"/>
        </w:rPr>
        <w:t>、企业需要GMP内训和指导，请与会务组联系</w:t>
      </w:r>
    </w:p>
    <w:p>
      <w:pPr>
        <w:tabs>
          <w:tab w:val="center" w:pos="4156"/>
        </w:tabs>
        <w:spacing w:line="420" w:lineRule="exact"/>
        <w:ind w:firstLine="551"/>
      </w:pPr>
      <w:r>
        <w:rPr>
          <w:rFonts w:hint="eastAsia" w:ascii="黑体;SimHei" w:hAnsi="黑体;SimHei" w:eastAsia="黑体;SimHei"/>
          <w:b/>
          <w:bCs/>
          <w:sz w:val="28"/>
          <w:szCs w:val="28"/>
          <w:lang w:eastAsia="zh-CN"/>
        </w:rPr>
        <w:t>六</w:t>
      </w:r>
      <w:r>
        <w:rPr>
          <w:rFonts w:ascii="黑体;SimHei" w:hAnsi="黑体;SimHei" w:eastAsia="黑体;SimHei"/>
          <w:b/>
          <w:bCs/>
          <w:sz w:val="28"/>
          <w:szCs w:val="28"/>
        </w:rPr>
        <w:t>、会议费用</w:t>
      </w:r>
    </w:p>
    <w:p>
      <w:pPr>
        <w:pStyle w:val="4"/>
        <w:tabs>
          <w:tab w:val="left" w:pos="1440"/>
        </w:tabs>
        <w:spacing w:line="470" w:lineRule="exact"/>
        <w:rPr>
          <w:rFonts w:cs="宋体;SimSun"/>
          <w:b w:val="0"/>
          <w:bCs w:val="0"/>
        </w:rPr>
      </w:pPr>
      <w:r>
        <w:rPr>
          <w:rFonts w:cs="宋体;SimSun"/>
          <w:b w:val="0"/>
          <w:bCs w:val="0"/>
        </w:rPr>
        <w:t>会务费：2500元/人；</w:t>
      </w:r>
      <w:r>
        <w:rPr>
          <w:b w:val="0"/>
          <w:bCs w:val="0"/>
          <w:w w:val="90"/>
        </w:rPr>
        <w:t>（</w:t>
      </w:r>
      <w:r>
        <w:rPr>
          <w:rFonts w:cs="宋体;SimSun"/>
          <w:b w:val="0"/>
          <w:bCs w:val="0"/>
        </w:rPr>
        <w:t>会务费包括：培训、研讨、资料等）。食宿统一安排，费用自理。</w:t>
      </w:r>
    </w:p>
    <w:p>
      <w:pPr>
        <w:tabs>
          <w:tab w:val="center" w:pos="4156"/>
        </w:tabs>
        <w:spacing w:line="420" w:lineRule="exact"/>
        <w:ind w:firstLine="551"/>
      </w:pPr>
      <w:r>
        <w:rPr>
          <w:rFonts w:hint="eastAsia" w:ascii="黑体;SimHei" w:hAnsi="黑体;SimHei" w:eastAsia="黑体;SimHei"/>
          <w:b/>
          <w:bCs/>
          <w:sz w:val="28"/>
          <w:szCs w:val="28"/>
          <w:lang w:eastAsia="zh-CN"/>
        </w:rPr>
        <w:t>七</w:t>
      </w:r>
      <w:r>
        <w:rPr>
          <w:rFonts w:ascii="黑体;SimHei" w:hAnsi="黑体;SimHei" w:eastAsia="黑体;SimHei"/>
          <w:b/>
          <w:bCs/>
          <w:sz w:val="28"/>
          <w:szCs w:val="28"/>
        </w:rPr>
        <w:t>、联系方式</w:t>
      </w:r>
    </w:p>
    <w:p>
      <w:pPr>
        <w:pStyle w:val="4"/>
        <w:spacing w:line="470" w:lineRule="exact"/>
        <w:rPr>
          <w:rFonts w:cs="宋体;SimSun"/>
        </w:rPr>
      </w:pPr>
    </w:p>
    <w:p>
      <w:pPr>
        <w:pStyle w:val="4"/>
        <w:spacing w:line="470" w:lineRule="exact"/>
        <w:rPr>
          <w:rFonts w:cs="宋体;SimSun"/>
        </w:rPr>
      </w:pPr>
    </w:p>
    <w:p>
      <w:pPr>
        <w:pStyle w:val="4"/>
        <w:tabs>
          <w:tab w:val="left" w:pos="1440"/>
        </w:tabs>
        <w:spacing w:line="470" w:lineRule="exact"/>
      </w:pPr>
      <w:r>
        <w:rPr>
          <w:rFonts w:cs="宋体;SimSun"/>
          <w:szCs w:val="28"/>
        </w:rPr>
        <w:t>附件一：</w:t>
      </w:r>
      <w:r>
        <w:rPr>
          <w:rFonts w:cs="宋体;SimSun"/>
          <w:b w:val="0"/>
          <w:szCs w:val="28"/>
        </w:rPr>
        <w:t>会议日程安排</w:t>
      </w:r>
    </w:p>
    <w:p>
      <w:pPr>
        <w:spacing w:line="360" w:lineRule="exact"/>
        <w:ind w:firstLine="560"/>
        <w:rPr>
          <w:rFonts w:ascii="仿宋_GB2312;微软雅黑" w:hAnsi="仿宋_GB2312;微软雅黑" w:eastAsia="仿宋_GB2312;微软雅黑"/>
          <w:bCs/>
          <w:sz w:val="28"/>
          <w:szCs w:val="28"/>
        </w:rPr>
      </w:pPr>
      <w:r>
        <w:rPr>
          <w:rFonts w:ascii="仿宋_GB2312;微软雅黑" w:hAnsi="仿宋_GB2312;微软雅黑" w:eastAsia="仿宋_GB2312;微软雅黑"/>
          <w:b/>
          <w:bCs/>
          <w:sz w:val="28"/>
          <w:szCs w:val="28"/>
        </w:rPr>
        <w:t>附件二：</w:t>
      </w:r>
      <w:r>
        <w:rPr>
          <w:rFonts w:ascii="仿宋_GB2312;微软雅黑" w:hAnsi="仿宋_GB2312;微软雅黑" w:eastAsia="仿宋_GB2312;微软雅黑"/>
          <w:sz w:val="28"/>
          <w:szCs w:val="28"/>
        </w:rPr>
        <w:t>参会报名表</w:t>
      </w:r>
    </w:p>
    <w:p>
      <w:pPr>
        <w:spacing w:line="360" w:lineRule="exact"/>
        <w:ind w:firstLine="560"/>
        <w:rPr>
          <w:rFonts w:ascii="仿宋_GB2312;微软雅黑" w:hAnsi="仿宋_GB2312;微软雅黑" w:eastAsia="仿宋_GB2312;微软雅黑"/>
          <w:bCs/>
          <w:sz w:val="28"/>
          <w:szCs w:val="28"/>
        </w:rPr>
      </w:pPr>
    </w:p>
    <w:p>
      <w:pPr>
        <w:pStyle w:val="4"/>
        <w:tabs>
          <w:tab w:val="left" w:pos="1440"/>
          <w:tab w:val="left" w:pos="2100"/>
        </w:tabs>
        <w:spacing w:line="470" w:lineRule="exact"/>
        <w:ind w:firstLine="0"/>
      </w:pPr>
      <w:r>
        <w:rPr>
          <w:rFonts w:cs="仿宋_GB2312;微软雅黑"/>
        </w:rPr>
        <w:t xml:space="preserve">                       </w:t>
      </w:r>
      <w:r>
        <w:t xml:space="preserve">中国化工企业管理协会医药化工专业委员会 </w:t>
      </w:r>
    </w:p>
    <w:p>
      <w:pPr>
        <w:pStyle w:val="4"/>
        <w:tabs>
          <w:tab w:val="left" w:pos="1440"/>
          <w:tab w:val="left" w:pos="2100"/>
        </w:tabs>
        <w:spacing w:line="470" w:lineRule="exact"/>
        <w:ind w:firstLine="0"/>
      </w:pPr>
      <w:r>
        <w:rPr>
          <w:rFonts w:cs="仿宋_GB2312;微软雅黑"/>
        </w:rPr>
        <w:t xml:space="preserve">                                  </w:t>
      </w:r>
      <w:r>
        <w:t>二零一八年</w:t>
      </w:r>
      <w:r>
        <w:rPr>
          <w:rFonts w:hint="eastAsia"/>
          <w:lang w:eastAsia="zh-CN"/>
        </w:rPr>
        <w:t>七</w:t>
      </w:r>
      <w:r>
        <w:t>月</w:t>
      </w:r>
    </w:p>
    <w:tbl>
      <w:tblPr>
        <w:tblStyle w:val="11"/>
        <w:tblW w:w="11207" w:type="dxa"/>
        <w:jc w:val="center"/>
        <w:tblInd w:w="0"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1518"/>
        <w:gridCol w:w="9689"/>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Ex>
        <w:trPr>
          <w:cantSplit/>
          <w:trHeight w:val="5839" w:hRule="atLeast"/>
          <w:jc w:val="center"/>
        </w:trPr>
        <w:tc>
          <w:tcPr>
            <w:tcW w:w="1518" w:type="dxa"/>
            <w:tcBorders>
              <w:top w:val="single" w:color="000000" w:sz="4" w:space="0"/>
              <w:left w:val="single" w:color="000000" w:sz="4" w:space="0"/>
              <w:bottom w:val="single" w:color="000000" w:sz="4" w:space="0"/>
              <w:insideH w:val="single" w:sz="4" w:space="0"/>
            </w:tcBorders>
            <w:shd w:val="clear" w:color="auto" w:fill="auto"/>
            <w:vAlign w:val="center"/>
          </w:tcPr>
          <w:p>
            <w:pPr>
              <w:spacing w:line="300" w:lineRule="exact"/>
              <w:rPr>
                <w:rFonts w:ascii="微软雅黑" w:hAnsi="微软雅黑" w:eastAsia="微软雅黑" w:cs="微软雅黑"/>
                <w:b/>
                <w:color w:val="000000"/>
                <w:kern w:val="0"/>
                <w:szCs w:val="21"/>
              </w:rPr>
            </w:pPr>
            <w:r>
              <w:rPr>
                <w:rFonts w:ascii="微软雅黑" w:hAnsi="微软雅黑" w:eastAsia="微软雅黑" w:cs="微软雅黑"/>
                <w:b/>
                <w:color w:val="000000"/>
                <w:kern w:val="0"/>
                <w:szCs w:val="21"/>
              </w:rPr>
              <w:t xml:space="preserve">    </w:t>
            </w:r>
          </w:p>
          <w:p>
            <w:pPr>
              <w:spacing w:line="300" w:lineRule="exact"/>
              <w:rPr>
                <w:rFonts w:ascii="微软雅黑" w:hAnsi="微软雅黑" w:eastAsia="微软雅黑" w:cs="微软雅黑"/>
                <w:b/>
                <w:color w:val="000000"/>
                <w:kern w:val="0"/>
                <w:szCs w:val="21"/>
              </w:rPr>
            </w:pPr>
          </w:p>
          <w:p>
            <w:pPr>
              <w:spacing w:line="300" w:lineRule="exact"/>
              <w:rPr>
                <w:rFonts w:ascii="微软雅黑" w:hAnsi="微软雅黑" w:eastAsia="微软雅黑" w:cs="微软雅黑"/>
                <w:b/>
                <w:color w:val="000000"/>
                <w:kern w:val="0"/>
                <w:szCs w:val="21"/>
              </w:rPr>
            </w:pPr>
          </w:p>
          <w:p>
            <w:pPr>
              <w:spacing w:line="300" w:lineRule="exact"/>
              <w:rPr>
                <w:rFonts w:ascii="微软雅黑" w:hAnsi="微软雅黑" w:eastAsia="微软雅黑" w:cs="微软雅黑"/>
                <w:b/>
                <w:color w:val="000000"/>
                <w:kern w:val="0"/>
                <w:szCs w:val="21"/>
              </w:rPr>
            </w:pPr>
          </w:p>
          <w:p>
            <w:pPr>
              <w:spacing w:line="300" w:lineRule="exact"/>
              <w:rPr>
                <w:rFonts w:ascii="微软雅黑" w:hAnsi="微软雅黑" w:eastAsia="微软雅黑" w:cs="微软雅黑"/>
                <w:b/>
                <w:color w:val="000000"/>
                <w:kern w:val="0"/>
                <w:szCs w:val="21"/>
              </w:rPr>
            </w:pPr>
          </w:p>
          <w:p>
            <w:pPr>
              <w:spacing w:line="300" w:lineRule="exact"/>
              <w:jc w:val="center"/>
            </w:pPr>
            <w:r>
              <w:rPr>
                <w:rFonts w:ascii="微软雅黑" w:hAnsi="微软雅黑" w:eastAsia="微软雅黑" w:cs="微软雅黑"/>
                <w:b/>
                <w:bCs/>
                <w:color w:val="000000"/>
                <w:kern w:val="0"/>
              </w:rPr>
              <w:t xml:space="preserve">  第一天</w:t>
            </w:r>
          </w:p>
          <w:p>
            <w:pPr>
              <w:spacing w:line="300" w:lineRule="exact"/>
              <w:jc w:val="center"/>
              <w:rPr>
                <w:rFonts w:ascii="微软雅黑" w:hAnsi="微软雅黑" w:eastAsia="微软雅黑" w:cs="微软雅黑"/>
                <w:b/>
                <w:color w:val="000000"/>
                <w:kern w:val="0"/>
                <w:szCs w:val="21"/>
              </w:rPr>
            </w:pPr>
            <w:r>
              <w:rPr>
                <w:rFonts w:ascii="微软雅黑" w:hAnsi="微软雅黑" w:eastAsia="微软雅黑" w:cs="微软雅黑"/>
                <w:b/>
                <w:color w:val="000000"/>
                <w:kern w:val="0"/>
                <w:szCs w:val="21"/>
              </w:rPr>
              <w:t>上午</w:t>
            </w:r>
          </w:p>
          <w:p>
            <w:pPr>
              <w:spacing w:line="300" w:lineRule="exact"/>
              <w:jc w:val="center"/>
              <w:rPr>
                <w:rFonts w:ascii="微软雅黑" w:hAnsi="微软雅黑" w:eastAsia="微软雅黑" w:cs="微软雅黑"/>
                <w:b/>
                <w:bCs/>
                <w:color w:val="F69545" w:themeColor="accent6" w:themeShade="FF" w:themeTint="FF"/>
              </w:rPr>
            </w:pPr>
            <w:r>
              <w:rPr>
                <w:rFonts w:ascii="微软雅黑" w:hAnsi="微软雅黑" w:eastAsia="微软雅黑" w:cs="微软雅黑"/>
                <w:b/>
                <w:bCs/>
                <w:color w:val="000000"/>
                <w:kern w:val="0"/>
              </w:rPr>
              <w:t>9:00-12:00</w:t>
            </w:r>
          </w:p>
          <w:p>
            <w:pPr>
              <w:spacing w:line="300" w:lineRule="exact"/>
              <w:jc w:val="center"/>
              <w:rPr>
                <w:rFonts w:ascii="微软雅黑" w:hAnsi="微软雅黑" w:eastAsia="微软雅黑" w:cs="微软雅黑"/>
                <w:b/>
                <w:color w:val="000000"/>
                <w:kern w:val="0"/>
                <w:szCs w:val="21"/>
              </w:rPr>
            </w:pPr>
          </w:p>
          <w:p>
            <w:pPr>
              <w:spacing w:line="300" w:lineRule="exact"/>
              <w:jc w:val="center"/>
              <w:rPr>
                <w:rFonts w:ascii="微软雅黑" w:hAnsi="微软雅黑" w:eastAsia="微软雅黑" w:cs="微软雅黑"/>
                <w:b/>
                <w:color w:val="000000"/>
                <w:kern w:val="0"/>
                <w:szCs w:val="21"/>
              </w:rPr>
            </w:pPr>
          </w:p>
          <w:p>
            <w:pPr>
              <w:spacing w:line="300" w:lineRule="exact"/>
              <w:jc w:val="center"/>
              <w:rPr>
                <w:rFonts w:ascii="微软雅黑" w:hAnsi="微软雅黑" w:eastAsia="微软雅黑" w:cs="微软雅黑"/>
                <w:b/>
                <w:color w:val="000000"/>
                <w:kern w:val="0"/>
                <w:szCs w:val="21"/>
              </w:rPr>
            </w:pPr>
            <w:r>
              <w:rPr>
                <w:rFonts w:ascii="微软雅黑" w:hAnsi="微软雅黑" w:eastAsia="微软雅黑" w:cs="微软雅黑"/>
                <w:b/>
                <w:color w:val="000000"/>
                <w:kern w:val="0"/>
                <w:szCs w:val="21"/>
              </w:rPr>
              <w:t>下午</w:t>
            </w:r>
          </w:p>
          <w:p>
            <w:pPr>
              <w:spacing w:line="300" w:lineRule="exact"/>
              <w:jc w:val="center"/>
              <w:rPr>
                <w:rFonts w:ascii="微软雅黑" w:hAnsi="微软雅黑" w:eastAsia="微软雅黑" w:cs="微软雅黑"/>
                <w:color w:val="F69545" w:themeColor="accent6" w:themeShade="FF" w:themeTint="FF"/>
              </w:rPr>
            </w:pPr>
            <w:r>
              <w:rPr>
                <w:rFonts w:ascii="微软雅黑" w:hAnsi="微软雅黑" w:eastAsia="微软雅黑" w:cs="微软雅黑"/>
                <w:b/>
                <w:bCs/>
                <w:color w:val="000000"/>
                <w:kern w:val="0"/>
              </w:rPr>
              <w:t>13:30-17:00</w:t>
            </w:r>
          </w:p>
          <w:p>
            <w:pPr>
              <w:spacing w:line="300" w:lineRule="exact"/>
              <w:jc w:val="center"/>
              <w:rPr>
                <w:rFonts w:ascii="微软雅黑" w:hAnsi="微软雅黑" w:eastAsia="微软雅黑" w:cs="微软雅黑"/>
                <w:b/>
                <w:color w:val="000000"/>
                <w:kern w:val="0"/>
                <w:szCs w:val="21"/>
              </w:rPr>
            </w:pPr>
          </w:p>
          <w:p>
            <w:pPr>
              <w:spacing w:line="300" w:lineRule="exact"/>
              <w:jc w:val="center"/>
              <w:rPr>
                <w:rFonts w:ascii="微软雅黑" w:hAnsi="微软雅黑" w:eastAsia="微软雅黑" w:cs="微软雅黑"/>
                <w:b/>
                <w:color w:val="000000"/>
                <w:kern w:val="0"/>
                <w:szCs w:val="21"/>
              </w:rPr>
            </w:pPr>
          </w:p>
          <w:p>
            <w:pPr>
              <w:spacing w:line="300" w:lineRule="exact"/>
              <w:jc w:val="center"/>
              <w:rPr>
                <w:rFonts w:ascii="微软雅黑" w:hAnsi="微软雅黑" w:eastAsia="微软雅黑" w:cs="微软雅黑"/>
                <w:b/>
                <w:color w:val="000000"/>
                <w:kern w:val="0"/>
                <w:szCs w:val="21"/>
              </w:rPr>
            </w:pPr>
          </w:p>
          <w:p>
            <w:pPr>
              <w:spacing w:line="300" w:lineRule="exact"/>
              <w:jc w:val="center"/>
              <w:rPr>
                <w:rFonts w:ascii="微软雅黑" w:hAnsi="微软雅黑" w:eastAsia="微软雅黑" w:cs="微软雅黑"/>
                <w:b/>
                <w:color w:val="000000"/>
                <w:kern w:val="0"/>
                <w:szCs w:val="21"/>
              </w:rPr>
            </w:pPr>
          </w:p>
          <w:p>
            <w:pPr>
              <w:spacing w:line="300" w:lineRule="exact"/>
              <w:jc w:val="center"/>
              <w:rPr>
                <w:rFonts w:ascii="微软雅黑" w:hAnsi="微软雅黑" w:eastAsia="微软雅黑" w:cs="微软雅黑"/>
                <w:b/>
                <w:color w:val="000000"/>
                <w:kern w:val="0"/>
                <w:szCs w:val="21"/>
              </w:rPr>
            </w:pPr>
          </w:p>
          <w:p>
            <w:pPr>
              <w:spacing w:line="300" w:lineRule="exact"/>
              <w:rPr>
                <w:rFonts w:ascii="微软雅黑" w:hAnsi="微软雅黑" w:eastAsia="微软雅黑" w:cs="微软雅黑"/>
                <w:b/>
                <w:color w:val="000000"/>
                <w:kern w:val="0"/>
                <w:szCs w:val="21"/>
              </w:rPr>
            </w:pPr>
          </w:p>
        </w:tc>
        <w:tc>
          <w:tcPr>
            <w:tcW w:w="9689"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spacing w:line="360" w:lineRule="exact"/>
              <w:rPr>
                <w:rFonts w:ascii="宋体;SimSun" w:hAnsi="宋体;SimSun" w:cs="宋体;SimSun"/>
                <w:b/>
                <w:bCs/>
              </w:rPr>
            </w:pPr>
            <w:r>
              <w:rPr>
                <w:rFonts w:ascii="宋体;SimSun" w:hAnsi="宋体;SimSun" w:cs="宋体;SimSun"/>
                <w:b/>
                <w:bCs/>
              </w:rPr>
              <w:t>一、无菌生产的国内外法规介绍</w:t>
            </w:r>
          </w:p>
          <w:p>
            <w:pPr>
              <w:pStyle w:val="25"/>
              <w:numPr>
                <w:ilvl w:val="0"/>
                <w:numId w:val="2"/>
              </w:numPr>
              <w:spacing w:line="360" w:lineRule="exact"/>
              <w:rPr>
                <w:color w:val="auto"/>
                <w:sz w:val="21"/>
                <w:szCs w:val="21"/>
                <w:lang w:val="en-US" w:eastAsia="zh-CN" w:bidi="ar-SA"/>
              </w:rPr>
            </w:pPr>
            <w:r>
              <w:rPr>
                <w:rFonts w:ascii="宋体;SimSun" w:hAnsi="宋体;SimSun" w:eastAsia="宋体;SimSun" w:cs="宋体;SimSun"/>
                <w:color w:val="auto"/>
                <w:sz w:val="21"/>
                <w:szCs w:val="21"/>
                <w:lang w:val="en-US" w:eastAsia="zh-CN" w:bidi="ar-SA"/>
              </w:rPr>
              <w:t>CFDA GMP无菌要求</w:t>
            </w:r>
          </w:p>
          <w:p>
            <w:pPr>
              <w:pStyle w:val="25"/>
              <w:numPr>
                <w:ilvl w:val="1"/>
                <w:numId w:val="2"/>
              </w:numPr>
              <w:spacing w:line="360" w:lineRule="exact"/>
              <w:rPr>
                <w:color w:val="auto"/>
                <w:sz w:val="21"/>
                <w:szCs w:val="21"/>
                <w:lang w:eastAsia="zh-CN" w:bidi="ar-SA"/>
              </w:rPr>
            </w:pPr>
            <w:r>
              <w:rPr>
                <w:rFonts w:ascii="宋体;SimSun" w:hAnsi="宋体;SimSun" w:eastAsia="宋体;SimSun" w:cs="宋体;SimSun"/>
                <w:color w:val="auto"/>
                <w:sz w:val="21"/>
                <w:szCs w:val="21"/>
                <w:lang w:eastAsia="zh-CN" w:bidi="ar-SA"/>
              </w:rPr>
              <w:t>从无菌保证水平（</w:t>
            </w:r>
            <w:r>
              <w:rPr>
                <w:rFonts w:ascii="宋体;SimSun" w:hAnsi="宋体;SimSun" w:eastAsia="宋体;SimSun" w:cs="宋体;SimSun"/>
                <w:color w:val="auto"/>
                <w:sz w:val="21"/>
                <w:szCs w:val="21"/>
                <w:lang w:val="en-US" w:eastAsia="zh-CN" w:bidi="ar-SA"/>
              </w:rPr>
              <w:t>Sterility Assurance Level, SAL</w:t>
            </w:r>
            <w:r>
              <w:rPr>
                <w:rFonts w:ascii="宋体;SimSun" w:hAnsi="宋体;SimSun" w:eastAsia="宋体;SimSun" w:cs="宋体;SimSun"/>
                <w:color w:val="auto"/>
                <w:sz w:val="21"/>
                <w:szCs w:val="21"/>
                <w:lang w:eastAsia="zh-CN" w:bidi="ar-SA"/>
              </w:rPr>
              <w:t>）谈整个无菌生产生命周期管理</w:t>
            </w:r>
            <w:r>
              <w:rPr>
                <w:rFonts w:hint="eastAsia" w:ascii="宋体;SimSun" w:hAnsi="宋体;SimSun" w:cs="宋体;SimSun"/>
                <w:color w:val="auto"/>
                <w:sz w:val="21"/>
                <w:szCs w:val="21"/>
                <w:lang w:val="en-US" w:eastAsia="zh-CN" w:bidi="ar-SA"/>
              </w:rPr>
              <w:t xml:space="preserve">  b.</w:t>
            </w:r>
            <w:r>
              <w:rPr>
                <w:rFonts w:ascii="宋体;SimSun" w:hAnsi="宋体;SimSun" w:eastAsia="宋体;SimSun" w:cs="宋体;SimSun"/>
                <w:color w:val="auto"/>
                <w:sz w:val="21"/>
                <w:szCs w:val="21"/>
                <w:lang w:val="en-US" w:eastAsia="zh-CN" w:bidi="ar-SA"/>
              </w:rPr>
              <w:t>CFDA培养基模拟灌装指南</w:t>
            </w:r>
            <w:r>
              <w:rPr>
                <w:rFonts w:hint="eastAsia" w:ascii="宋体;SimSun" w:hAnsi="宋体;SimSun" w:cs="宋体;SimSun"/>
                <w:color w:val="auto"/>
                <w:sz w:val="21"/>
                <w:szCs w:val="21"/>
                <w:lang w:val="en-US" w:eastAsia="zh-CN" w:bidi="ar-SA"/>
              </w:rPr>
              <w:t xml:space="preserve">  c.</w:t>
            </w:r>
            <w:r>
              <w:rPr>
                <w:rFonts w:ascii="宋体;SimSun" w:hAnsi="宋体;SimSun" w:eastAsia="宋体;SimSun" w:cs="宋体;SimSun"/>
                <w:color w:val="auto"/>
                <w:sz w:val="21"/>
                <w:szCs w:val="21"/>
                <w:lang w:eastAsia="zh-CN" w:bidi="ar-SA"/>
              </w:rPr>
              <w:t>CFDA灭菌/无菌工艺验证指导原则</w:t>
            </w:r>
          </w:p>
          <w:p>
            <w:pPr>
              <w:pStyle w:val="25"/>
              <w:numPr>
                <w:ilvl w:val="0"/>
                <w:numId w:val="2"/>
              </w:numPr>
              <w:spacing w:line="360" w:lineRule="exact"/>
              <w:rPr>
                <w:rFonts w:ascii="宋体;SimSun" w:hAnsi="宋体;SimSun" w:eastAsia="宋体;SimSun" w:cs="宋体;SimSun"/>
                <w:color w:val="auto"/>
                <w:sz w:val="21"/>
                <w:szCs w:val="21"/>
                <w:lang w:val="en-US" w:eastAsia="zh-CN" w:bidi="ar-SA"/>
              </w:rPr>
            </w:pPr>
            <w:r>
              <w:rPr>
                <w:rFonts w:ascii="宋体;SimSun" w:hAnsi="宋体;SimSun" w:eastAsia="宋体;SimSun" w:cs="宋体;SimSun"/>
                <w:color w:val="auto"/>
                <w:sz w:val="21"/>
                <w:szCs w:val="21"/>
                <w:lang w:val="en-US" w:eastAsia="zh-CN" w:bidi="ar-SA"/>
              </w:rPr>
              <w:t>FDA及EMA无菌生产法规</w:t>
            </w:r>
            <w:r>
              <w:rPr>
                <w:rFonts w:hint="eastAsia" w:ascii="宋体;SimSun" w:hAnsi="宋体;SimSun" w:cs="宋体;SimSun"/>
                <w:color w:val="auto"/>
                <w:sz w:val="21"/>
                <w:szCs w:val="21"/>
                <w:lang w:val="en-US" w:eastAsia="zh-CN" w:bidi="ar-SA"/>
              </w:rPr>
              <w:t xml:space="preserve"> </w:t>
            </w:r>
            <w:r>
              <w:rPr>
                <w:rFonts w:ascii="宋体;SimSun" w:hAnsi="宋体;SimSun" w:eastAsia="宋体;SimSun" w:cs="宋体;SimSun"/>
                <w:color w:val="auto"/>
                <w:sz w:val="21"/>
                <w:szCs w:val="21"/>
                <w:lang w:val="en-US" w:eastAsia="zh-CN" w:bidi="ar-SA"/>
              </w:rPr>
              <w:t>FDA无菌生产指南及无菌工艺检查员手册</w:t>
            </w:r>
            <w:r>
              <w:rPr>
                <w:rFonts w:hint="eastAsia" w:ascii="宋体;SimSun" w:hAnsi="宋体;SimSun" w:cs="宋体;SimSun"/>
                <w:color w:val="auto"/>
                <w:sz w:val="21"/>
                <w:szCs w:val="21"/>
                <w:lang w:val="en-US" w:eastAsia="zh-CN" w:bidi="ar-SA"/>
              </w:rPr>
              <w:t xml:space="preserve">    </w:t>
            </w:r>
            <w:r>
              <w:rPr>
                <w:rFonts w:ascii="宋体;SimSun" w:hAnsi="宋体;SimSun" w:eastAsia="宋体;SimSun" w:cs="宋体;SimSun"/>
                <w:color w:val="auto"/>
                <w:sz w:val="21"/>
                <w:szCs w:val="21"/>
                <w:lang w:val="en-US" w:eastAsia="zh-CN" w:bidi="ar-SA"/>
              </w:rPr>
              <w:t>EMA无菌生产GMP附录</w:t>
            </w:r>
          </w:p>
          <w:p>
            <w:pPr>
              <w:numPr>
                <w:ilvl w:val="0"/>
                <w:numId w:val="3"/>
              </w:numPr>
              <w:spacing w:before="0" w:beforeAutospacing="0" w:after="160" w:afterAutospacing="0" w:line="360" w:lineRule="exact"/>
              <w:ind w:left="0" w:right="0"/>
              <w:jc w:val="both"/>
              <w:rPr>
                <w:rFonts w:hint="eastAsia"/>
                <w:b w:val="0"/>
                <w:bCs w:val="0"/>
                <w:color w:val="auto"/>
                <w:sz w:val="21"/>
                <w:szCs w:val="21"/>
              </w:rPr>
            </w:pPr>
            <w:r>
              <w:rPr>
                <w:rFonts w:ascii="宋体;SimSun" w:hAnsi="宋体;SimSun" w:cs="宋体;SimSun"/>
                <w:b/>
                <w:bCs/>
              </w:rPr>
              <w:t>无菌生产管理整体项目开展举例</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1.整个无菌产品生命周期管理要素说明</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a基于风险评价对新建无菌生产线的风险评价管理要素及常用评价工具案例解析</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b新企业及已建工厂，如何从零开展无菌生产风险排查资料配置，及风险小组组织架构 无菌管理工作开展计划 无菌过程跟踪及问题解决</w:t>
            </w:r>
            <w:r>
              <w:rPr>
                <w:rFonts w:hint="eastAsia"/>
                <w:b w:val="0"/>
                <w:bCs w:val="0"/>
                <w:color w:val="auto"/>
                <w:sz w:val="21"/>
                <w:szCs w:val="21"/>
                <w:lang w:val="en-US" w:eastAsia="zh-CN"/>
              </w:rPr>
              <w:t xml:space="preserve">  </w:t>
            </w:r>
            <w:r>
              <w:rPr>
                <w:rFonts w:hint="eastAsia"/>
                <w:b w:val="0"/>
                <w:bCs w:val="0"/>
                <w:color w:val="auto"/>
                <w:sz w:val="21"/>
                <w:szCs w:val="21"/>
              </w:rPr>
              <w:t>c.老产品、老生产线的风险管理及评价重点要求解析</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2.无菌产品的变更管理要点及注册要求</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3. 生物类产品生产一次性使用系统的验证要点及费用比较</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a.在无菌产品中，常见的一次性系统应用 </w:t>
            </w:r>
            <w:r>
              <w:rPr>
                <w:rFonts w:hint="eastAsia"/>
                <w:b w:val="0"/>
                <w:bCs w:val="0"/>
                <w:color w:val="auto"/>
                <w:sz w:val="21"/>
                <w:szCs w:val="21"/>
                <w:lang w:val="en-US" w:eastAsia="zh-CN"/>
              </w:rPr>
              <w:t xml:space="preserve"> </w:t>
            </w:r>
            <w:r>
              <w:rPr>
                <w:rFonts w:hint="eastAsia"/>
                <w:b w:val="0"/>
                <w:bCs w:val="0"/>
                <w:color w:val="auto"/>
                <w:sz w:val="21"/>
                <w:szCs w:val="21"/>
              </w:rPr>
              <w:t>b.清洗、消毒、验证的成本比较</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4. 如何准备无菌产品的cGMP认证</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a基于风险评价的无菌产品质量管理体系体系建设在无菌产品的cGMP认证中的重要作用</w:t>
            </w:r>
          </w:p>
          <w:p>
            <w:pPr>
              <w:pStyle w:val="25"/>
              <w:numPr>
                <w:ilvl w:val="0"/>
                <w:numId w:val="0"/>
              </w:numPr>
              <w:spacing w:line="360" w:lineRule="exact"/>
              <w:ind w:firstLine="630" w:firstLineChars="300"/>
              <w:rPr>
                <w:rFonts w:hint="eastAsia"/>
                <w:b w:val="0"/>
                <w:bCs w:val="0"/>
                <w:color w:val="auto"/>
                <w:sz w:val="21"/>
                <w:szCs w:val="21"/>
              </w:rPr>
            </w:pPr>
            <w:r>
              <w:rPr>
                <w:rFonts w:hint="eastAsia"/>
                <w:b w:val="0"/>
                <w:bCs w:val="0"/>
                <w:color w:val="auto"/>
                <w:sz w:val="21"/>
                <w:szCs w:val="21"/>
              </w:rPr>
              <w:t>FDA对无菌产品生产的管理要素要求解析</w:t>
            </w:r>
            <w:r>
              <w:rPr>
                <w:rFonts w:hint="eastAsia"/>
                <w:b w:val="0"/>
                <w:bCs w:val="0"/>
                <w:color w:val="auto"/>
                <w:sz w:val="21"/>
                <w:szCs w:val="21"/>
                <w:lang w:val="en-US" w:eastAsia="zh-CN"/>
              </w:rPr>
              <w:t xml:space="preserve">   </w:t>
            </w:r>
            <w:r>
              <w:rPr>
                <w:rFonts w:hint="eastAsia"/>
                <w:b w:val="0"/>
                <w:bCs w:val="0"/>
                <w:color w:val="auto"/>
                <w:sz w:val="21"/>
                <w:szCs w:val="21"/>
              </w:rPr>
              <w:t>cGMP认证对无菌产品生产及质量控制数据完整性要求解析</w:t>
            </w:r>
            <w:r>
              <w:rPr>
                <w:rFonts w:hint="eastAsia"/>
                <w:b w:val="0"/>
                <w:bCs w:val="0"/>
                <w:color w:val="auto"/>
                <w:sz w:val="21"/>
                <w:szCs w:val="21"/>
                <w:lang w:val="en-US" w:eastAsia="zh-CN"/>
              </w:rPr>
              <w:t xml:space="preserve">   </w:t>
            </w:r>
            <w:r>
              <w:rPr>
                <w:rFonts w:hint="eastAsia"/>
                <w:b w:val="0"/>
                <w:bCs w:val="0"/>
                <w:color w:val="auto"/>
                <w:sz w:val="21"/>
                <w:szCs w:val="21"/>
              </w:rPr>
              <w:t>cGMP认证现场检查常见问题及防范方法案例解析</w:t>
            </w:r>
          </w:p>
          <w:p>
            <w:pPr>
              <w:pStyle w:val="25"/>
              <w:numPr>
                <w:ilvl w:val="0"/>
                <w:numId w:val="0"/>
              </w:numPr>
              <w:spacing w:line="360" w:lineRule="exact"/>
              <w:ind w:firstLine="630" w:firstLineChars="300"/>
              <w:rPr>
                <w:b w:val="0"/>
                <w:bCs w:val="0"/>
                <w:color w:val="auto"/>
                <w:sz w:val="21"/>
                <w:szCs w:val="21"/>
              </w:rPr>
            </w:pPr>
            <w:r>
              <w:rPr>
                <w:rFonts w:hint="eastAsia"/>
                <w:b w:val="0"/>
                <w:bCs w:val="0"/>
                <w:color w:val="auto"/>
                <w:sz w:val="21"/>
                <w:szCs w:val="21"/>
              </w:rPr>
              <w:t> b.认证前自查的准备工作及基于风险评价的自查要点案例解析</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Ex>
        <w:trPr>
          <w:cantSplit/>
          <w:trHeight w:val="5236" w:hRule="atLeast"/>
          <w:jc w:val="center"/>
        </w:trPr>
        <w:tc>
          <w:tcPr>
            <w:tcW w:w="1518" w:type="dxa"/>
            <w:tcBorders>
              <w:top w:val="single" w:color="000000" w:sz="4" w:space="0"/>
              <w:left w:val="single" w:color="000000" w:sz="4" w:space="0"/>
              <w:bottom w:val="single" w:color="000000" w:sz="4" w:space="0"/>
              <w:insideH w:val="single" w:sz="4" w:space="0"/>
            </w:tcBorders>
            <w:shd w:val="clear" w:color="auto" w:fill="auto"/>
            <w:vAlign w:val="center"/>
          </w:tcPr>
          <w:p>
            <w:pPr>
              <w:spacing w:line="300" w:lineRule="exact"/>
              <w:jc w:val="center"/>
            </w:pPr>
            <w:r>
              <w:rPr>
                <w:rFonts w:ascii="微软雅黑" w:hAnsi="微软雅黑" w:eastAsia="微软雅黑" w:cs="微软雅黑"/>
                <w:b/>
                <w:bCs/>
                <w:color w:val="000000"/>
                <w:kern w:val="0"/>
              </w:rPr>
              <w:t xml:space="preserve">  第二天</w:t>
            </w:r>
          </w:p>
          <w:p>
            <w:pPr>
              <w:spacing w:line="300" w:lineRule="exact"/>
              <w:jc w:val="center"/>
              <w:rPr>
                <w:rFonts w:ascii="微软雅黑" w:hAnsi="微软雅黑" w:eastAsia="微软雅黑" w:cs="微软雅黑"/>
                <w:b/>
                <w:color w:val="000000"/>
                <w:kern w:val="0"/>
                <w:szCs w:val="21"/>
              </w:rPr>
            </w:pPr>
            <w:r>
              <w:rPr>
                <w:rFonts w:ascii="微软雅黑" w:hAnsi="微软雅黑" w:eastAsia="微软雅黑" w:cs="微软雅黑"/>
                <w:b/>
                <w:color w:val="000000"/>
                <w:kern w:val="0"/>
                <w:szCs w:val="21"/>
              </w:rPr>
              <w:t>上午</w:t>
            </w:r>
          </w:p>
          <w:p>
            <w:pPr>
              <w:spacing w:line="300" w:lineRule="exact"/>
              <w:jc w:val="center"/>
              <w:rPr>
                <w:rFonts w:ascii="微软雅黑" w:hAnsi="微软雅黑" w:eastAsia="微软雅黑" w:cs="微软雅黑"/>
                <w:b/>
                <w:bCs/>
                <w:color w:val="F69545" w:themeColor="accent6" w:themeShade="FF" w:themeTint="FF"/>
              </w:rPr>
            </w:pPr>
            <w:r>
              <w:rPr>
                <w:rFonts w:ascii="微软雅黑" w:hAnsi="微软雅黑" w:eastAsia="微软雅黑" w:cs="微软雅黑"/>
                <w:b/>
                <w:bCs/>
                <w:color w:val="000000"/>
                <w:kern w:val="0"/>
              </w:rPr>
              <w:t>9:00-12:00</w:t>
            </w:r>
          </w:p>
          <w:p>
            <w:pPr>
              <w:spacing w:line="300" w:lineRule="exact"/>
              <w:jc w:val="center"/>
              <w:rPr>
                <w:rFonts w:ascii="微软雅黑" w:hAnsi="微软雅黑" w:eastAsia="微软雅黑" w:cs="微软雅黑"/>
                <w:b/>
                <w:color w:val="000000"/>
                <w:kern w:val="0"/>
                <w:szCs w:val="21"/>
              </w:rPr>
            </w:pPr>
          </w:p>
          <w:p>
            <w:pPr>
              <w:spacing w:line="300" w:lineRule="exact"/>
              <w:rPr>
                <w:rFonts w:ascii="微软雅黑" w:hAnsi="微软雅黑" w:eastAsia="微软雅黑" w:cs="微软雅黑"/>
                <w:b/>
                <w:color w:val="000000"/>
                <w:kern w:val="0"/>
                <w:szCs w:val="21"/>
              </w:rPr>
            </w:pPr>
          </w:p>
          <w:p>
            <w:pPr>
              <w:spacing w:line="300" w:lineRule="exact"/>
              <w:jc w:val="center"/>
              <w:rPr>
                <w:rFonts w:ascii="微软雅黑" w:hAnsi="微软雅黑" w:eastAsia="微软雅黑" w:cs="微软雅黑"/>
                <w:b/>
                <w:color w:val="000000"/>
                <w:kern w:val="0"/>
                <w:szCs w:val="21"/>
              </w:rPr>
            </w:pPr>
            <w:r>
              <w:rPr>
                <w:rFonts w:ascii="微软雅黑" w:hAnsi="微软雅黑" w:eastAsia="微软雅黑" w:cs="微软雅黑"/>
                <w:b/>
                <w:color w:val="000000"/>
                <w:kern w:val="0"/>
                <w:szCs w:val="21"/>
              </w:rPr>
              <w:t>下午</w:t>
            </w:r>
          </w:p>
          <w:p>
            <w:pPr>
              <w:spacing w:line="300" w:lineRule="exact"/>
              <w:jc w:val="center"/>
            </w:pPr>
            <w:r>
              <w:rPr>
                <w:rFonts w:ascii="微软雅黑" w:hAnsi="微软雅黑" w:eastAsia="微软雅黑" w:cs="微软雅黑"/>
                <w:b/>
                <w:bCs/>
                <w:color w:val="000000"/>
                <w:kern w:val="0"/>
              </w:rPr>
              <w:t>13:30-16:30</w:t>
            </w:r>
          </w:p>
          <w:p>
            <w:pPr>
              <w:spacing w:line="300" w:lineRule="exact"/>
              <w:rPr>
                <w:rFonts w:ascii="微软雅黑" w:hAnsi="微软雅黑" w:eastAsia="微软雅黑" w:cs="微软雅黑"/>
                <w:b/>
                <w:color w:val="000000"/>
                <w:kern w:val="0"/>
                <w:szCs w:val="21"/>
              </w:rPr>
            </w:pPr>
          </w:p>
        </w:tc>
        <w:tc>
          <w:tcPr>
            <w:tcW w:w="9689"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bidi w:val="0"/>
              <w:spacing w:before="0" w:beforeAutospacing="0" w:after="160" w:afterAutospacing="0" w:line="360" w:lineRule="exact"/>
              <w:ind w:left="0" w:right="0"/>
              <w:jc w:val="both"/>
              <w:rPr>
                <w:rFonts w:ascii="宋体;SimSun" w:hAnsi="宋体;SimSun" w:eastAsia="宋体;SimSun" w:cs="宋体;SimSun"/>
                <w:b/>
                <w:bCs/>
                <w:color w:val="auto"/>
                <w:sz w:val="21"/>
                <w:szCs w:val="21"/>
                <w:lang w:val="en-US" w:eastAsia="zh-CN" w:bidi="ar-SA"/>
              </w:rPr>
            </w:pPr>
            <w:r>
              <w:rPr>
                <w:rFonts w:hint="eastAsia" w:ascii="宋体;SimSun" w:hAnsi="宋体;SimSun" w:cs="宋体;SimSun"/>
                <w:b/>
                <w:bCs/>
                <w:color w:val="auto"/>
                <w:sz w:val="21"/>
                <w:szCs w:val="21"/>
                <w:lang w:val="en-US" w:eastAsia="zh-CN" w:bidi="ar-SA"/>
              </w:rPr>
              <w:t>三</w:t>
            </w:r>
            <w:r>
              <w:rPr>
                <w:rFonts w:ascii="宋体;SimSun" w:hAnsi="宋体;SimSun" w:eastAsia="宋体;SimSun" w:cs="宋体;SimSun"/>
                <w:b/>
                <w:bCs/>
                <w:color w:val="auto"/>
                <w:sz w:val="21"/>
                <w:szCs w:val="21"/>
                <w:lang w:val="en-US" w:eastAsia="zh-CN" w:bidi="ar-SA"/>
              </w:rPr>
              <w:t>、从风险管理的角度解析无菌生产的各大要素</w:t>
            </w:r>
            <w:r>
              <w:rPr>
                <w:rFonts w:hint="eastAsia" w:ascii="宋体;SimSun" w:hAnsi="宋体;SimSun" w:cs="宋体;SimSun"/>
                <w:b/>
                <w:bCs/>
                <w:color w:val="auto"/>
                <w:sz w:val="21"/>
                <w:szCs w:val="21"/>
                <w:lang w:val="en-US" w:eastAsia="zh-CN" w:bidi="ar-SA"/>
              </w:rPr>
              <w:t>（一）</w:t>
            </w:r>
          </w:p>
          <w:p>
            <w:pPr>
              <w:pStyle w:val="25"/>
              <w:numPr>
                <w:ilvl w:val="0"/>
                <w:numId w:val="4"/>
              </w:numPr>
              <w:spacing w:line="360" w:lineRule="exact"/>
              <w:rPr>
                <w:b w:val="0"/>
                <w:bCs w:val="0"/>
                <w:color w:val="auto"/>
                <w:sz w:val="21"/>
                <w:szCs w:val="21"/>
              </w:rPr>
            </w:pPr>
            <w:r>
              <w:rPr>
                <w:rFonts w:ascii="宋体;SimSun" w:hAnsi="宋体;SimSun" w:cs="宋体;SimSun"/>
                <w:b w:val="0"/>
                <w:bCs w:val="0"/>
              </w:rPr>
              <w:t>无菌生产的质量风险点管理</w:t>
            </w:r>
          </w:p>
          <w:p>
            <w:pPr>
              <w:pStyle w:val="25"/>
              <w:numPr>
                <w:ilvl w:val="0"/>
                <w:numId w:val="0"/>
              </w:numPr>
              <w:spacing w:line="360" w:lineRule="exact"/>
              <w:rPr>
                <w:rFonts w:hint="eastAsia" w:eastAsia="宋体;SimSun"/>
                <w:b w:val="0"/>
                <w:bCs w:val="0"/>
                <w:color w:val="auto"/>
                <w:sz w:val="21"/>
                <w:szCs w:val="21"/>
                <w:lang w:val="en-US" w:eastAsia="zh-CN"/>
              </w:rPr>
            </w:pPr>
            <w:r>
              <w:rPr>
                <w:rFonts w:ascii="宋体;SimSun" w:hAnsi="宋体;SimSun" w:cs="宋体;SimSun"/>
                <w:b w:val="0"/>
                <w:bCs w:val="0"/>
              </w:rPr>
              <w:t>微生物及热原污染考虑</w:t>
            </w:r>
            <w:r>
              <w:rPr>
                <w:rFonts w:hint="eastAsia" w:ascii="宋体;SimSun" w:hAnsi="宋体;SimSun" w:cs="宋体;SimSun"/>
                <w:b w:val="0"/>
                <w:bCs w:val="0"/>
                <w:lang w:val="en-US" w:eastAsia="zh-CN"/>
              </w:rPr>
              <w:t xml:space="preserve">  </w:t>
            </w:r>
            <w:r>
              <w:rPr>
                <w:rFonts w:ascii="宋体;SimSun" w:hAnsi="宋体;SimSun" w:cs="宋体;SimSun"/>
                <w:b w:val="0"/>
                <w:bCs w:val="0"/>
              </w:rPr>
              <w:t>不溶性物料、最终产品纯度及安全性考虑</w:t>
            </w:r>
            <w:r>
              <w:rPr>
                <w:rFonts w:hint="eastAsia" w:ascii="宋体;SimSun" w:hAnsi="宋体;SimSun" w:cs="宋体;SimSun"/>
                <w:b w:val="0"/>
                <w:bCs w:val="0"/>
                <w:lang w:val="en-US" w:eastAsia="zh-CN"/>
              </w:rPr>
              <w:t xml:space="preserve"> </w:t>
            </w:r>
            <w:r>
              <w:rPr>
                <w:rFonts w:ascii="宋体;SimSun" w:hAnsi="宋体;SimSun" w:cs="宋体;SimSun"/>
                <w:b w:val="0"/>
                <w:bCs w:val="0"/>
              </w:rPr>
              <w:t>举例：注射剂产品的风险评估工具</w:t>
            </w:r>
            <w:r>
              <w:rPr>
                <w:rFonts w:hint="eastAsia" w:ascii="宋体;SimSun" w:hAnsi="宋体;SimSun" w:cs="宋体;SimSun"/>
                <w:b w:val="0"/>
                <w:bCs w:val="0"/>
                <w:lang w:val="en-US" w:eastAsia="zh-CN"/>
              </w:rPr>
              <w:t xml:space="preserve"> 无菌原料药生产的污染考虑</w:t>
            </w:r>
          </w:p>
          <w:p>
            <w:pPr>
              <w:pStyle w:val="25"/>
              <w:numPr>
                <w:ilvl w:val="0"/>
                <w:numId w:val="4"/>
              </w:numPr>
              <w:spacing w:line="360" w:lineRule="exact"/>
              <w:rPr>
                <w:b w:val="0"/>
                <w:bCs w:val="0"/>
                <w:color w:val="auto"/>
                <w:sz w:val="21"/>
                <w:szCs w:val="21"/>
              </w:rPr>
            </w:pPr>
            <w:r>
              <w:rPr>
                <w:rFonts w:ascii="宋体;SimSun" w:hAnsi="宋体;SimSun" w:cs="宋体;SimSun"/>
                <w:b w:val="0"/>
                <w:bCs w:val="0"/>
              </w:rPr>
              <w:t>从人员角度控制无菌保障</w:t>
            </w:r>
          </w:p>
          <w:p>
            <w:pPr>
              <w:pStyle w:val="25"/>
              <w:numPr>
                <w:ilvl w:val="0"/>
                <w:numId w:val="0"/>
              </w:numPr>
              <w:spacing w:line="360" w:lineRule="exact"/>
              <w:rPr>
                <w:rFonts w:ascii="宋体;SimSun" w:hAnsi="宋体;SimSun" w:cs="宋体;SimSun"/>
                <w:b w:val="0"/>
                <w:bCs w:val="0"/>
              </w:rPr>
            </w:pPr>
            <w:r>
              <w:rPr>
                <w:rFonts w:ascii="宋体;SimSun" w:hAnsi="宋体;SimSun" w:cs="宋体;SimSun"/>
                <w:b w:val="0"/>
                <w:bCs w:val="0"/>
              </w:rPr>
              <w:t>人流物流的单向设计控制，最大化减少污染</w:t>
            </w:r>
            <w:r>
              <w:rPr>
                <w:rFonts w:hint="eastAsia" w:ascii="宋体;SimSun" w:hAnsi="宋体;SimSun" w:cs="宋体;SimSun"/>
                <w:b w:val="0"/>
                <w:bCs w:val="0"/>
                <w:lang w:val="en-US" w:eastAsia="zh-CN"/>
              </w:rPr>
              <w:t xml:space="preserve"> </w:t>
            </w:r>
            <w:r>
              <w:rPr>
                <w:rFonts w:ascii="宋体;SimSun" w:hAnsi="宋体;SimSun" w:cs="宋体;SimSun"/>
                <w:b w:val="0"/>
                <w:bCs w:val="0"/>
              </w:rPr>
              <w:t>人员卫生培训要点及监测计划</w:t>
            </w:r>
          </w:p>
          <w:p>
            <w:pPr>
              <w:pStyle w:val="25"/>
              <w:numPr>
                <w:ilvl w:val="0"/>
                <w:numId w:val="0"/>
              </w:numPr>
              <w:spacing w:line="360" w:lineRule="exact"/>
              <w:rPr>
                <w:b w:val="0"/>
                <w:bCs w:val="0"/>
                <w:color w:val="auto"/>
                <w:sz w:val="21"/>
                <w:szCs w:val="21"/>
              </w:rPr>
            </w:pPr>
            <w:r>
              <w:rPr>
                <w:rFonts w:ascii="宋体;SimSun" w:hAnsi="宋体;SimSun" w:cs="宋体;SimSun"/>
                <w:b w:val="0"/>
                <w:bCs w:val="0"/>
              </w:rPr>
              <w:t>无菌生产洁净区的着装要求和衣物管理</w:t>
            </w:r>
          </w:p>
          <w:p>
            <w:pPr>
              <w:pStyle w:val="25"/>
              <w:numPr>
                <w:ilvl w:val="0"/>
                <w:numId w:val="4"/>
              </w:numPr>
              <w:spacing w:line="360" w:lineRule="exact"/>
              <w:rPr>
                <w:b w:val="0"/>
                <w:bCs w:val="0"/>
                <w:color w:val="auto"/>
                <w:sz w:val="21"/>
                <w:szCs w:val="21"/>
              </w:rPr>
            </w:pPr>
            <w:r>
              <w:rPr>
                <w:rFonts w:ascii="宋体;SimSun" w:hAnsi="宋体;SimSun" w:cs="宋体;SimSun"/>
                <w:b w:val="0"/>
                <w:bCs w:val="0"/>
              </w:rPr>
              <w:t>无菌区生产设备设施的控制</w:t>
            </w:r>
          </w:p>
          <w:p>
            <w:pPr>
              <w:spacing w:before="0" w:beforeAutospacing="0" w:after="160" w:afterAutospacing="0" w:line="360" w:lineRule="exact"/>
              <w:ind w:left="0" w:right="0"/>
              <w:jc w:val="both"/>
              <w:rPr>
                <w:rFonts w:hint="eastAsia" w:ascii="宋体;SimSun" w:hAnsi="宋体;SimSun" w:eastAsia="宋体;SimSun" w:cs="宋体;SimSun"/>
                <w:b w:val="0"/>
                <w:bCs w:val="0"/>
                <w:lang w:val="en-US" w:eastAsia="zh-CN"/>
              </w:rPr>
            </w:pPr>
            <w:r>
              <w:rPr>
                <w:rFonts w:ascii="宋体;SimSun" w:hAnsi="宋体;SimSun" w:cs="宋体;SimSun"/>
                <w:b w:val="0"/>
                <w:bCs w:val="0"/>
              </w:rPr>
              <w:t>无菌区域HVAC的划分，通过风险评估确定监控点</w:t>
            </w:r>
            <w:r>
              <w:rPr>
                <w:rFonts w:hint="eastAsia" w:ascii="宋体;SimSun" w:hAnsi="宋体;SimSun" w:cs="宋体;SimSun"/>
                <w:b w:val="0"/>
                <w:bCs w:val="0"/>
                <w:lang w:val="en-US" w:eastAsia="zh-CN"/>
              </w:rPr>
              <w:t xml:space="preserve"> </w:t>
            </w:r>
            <w:r>
              <w:rPr>
                <w:rFonts w:ascii="宋体;SimSun" w:hAnsi="宋体;SimSun" w:cs="宋体;SimSun"/>
                <w:b w:val="0"/>
                <w:bCs w:val="0"/>
              </w:rPr>
              <w:t>无菌设备供应商的选择及URS要求</w:t>
            </w:r>
            <w:r>
              <w:rPr>
                <w:rFonts w:hint="eastAsia" w:ascii="宋体;SimSun" w:hAnsi="宋体;SimSun" w:cs="宋体;SimSun"/>
                <w:b w:val="0"/>
                <w:bCs w:val="0"/>
                <w:lang w:val="en-US" w:eastAsia="zh-CN"/>
              </w:rPr>
              <w:t xml:space="preserve"> 空调及水系统如何开展确认和验证工作</w:t>
            </w:r>
          </w:p>
          <w:p>
            <w:pPr>
              <w:spacing w:before="0" w:beforeAutospacing="0" w:after="160" w:afterAutospacing="0" w:line="360" w:lineRule="exact"/>
              <w:ind w:left="0" w:right="0"/>
              <w:jc w:val="both"/>
              <w:rPr>
                <w:rFonts w:ascii="宋体;SimSun" w:hAnsi="宋体;SimSun" w:eastAsia="宋体;SimSun" w:cs="宋体;SimSun"/>
                <w:b/>
                <w:bCs/>
                <w:color w:val="auto"/>
                <w:sz w:val="21"/>
                <w:szCs w:val="21"/>
                <w:lang w:val="en-US" w:eastAsia="zh-CN" w:bidi="ar-SA"/>
              </w:rPr>
            </w:pPr>
            <w:r>
              <w:rPr>
                <w:rFonts w:hint="eastAsia" w:ascii="宋体;SimSun" w:hAnsi="宋体;SimSun" w:cs="宋体;SimSun"/>
                <w:b/>
                <w:bCs/>
                <w:lang w:eastAsia="zh-CN"/>
              </w:rPr>
              <w:t>四</w:t>
            </w:r>
            <w:r>
              <w:rPr>
                <w:rFonts w:ascii="宋体;SimSun" w:hAnsi="宋体;SimSun" w:cs="宋体;SimSun"/>
                <w:b/>
                <w:bCs/>
              </w:rPr>
              <w:t>、</w:t>
            </w:r>
            <w:r>
              <w:rPr>
                <w:rFonts w:ascii="宋体;SimSun" w:hAnsi="宋体;SimSun" w:eastAsia="宋体;SimSun" w:cs="宋体;SimSun"/>
                <w:b/>
                <w:bCs/>
                <w:color w:val="auto"/>
                <w:sz w:val="21"/>
                <w:szCs w:val="21"/>
                <w:lang w:val="en-US" w:eastAsia="zh-CN" w:bidi="ar-SA"/>
              </w:rPr>
              <w:t>从风险管理的角度解析无菌生产的各大要素</w:t>
            </w:r>
          </w:p>
          <w:p>
            <w:pPr>
              <w:pStyle w:val="25"/>
              <w:numPr>
                <w:ilvl w:val="0"/>
                <w:numId w:val="5"/>
              </w:numPr>
              <w:spacing w:line="360" w:lineRule="exact"/>
              <w:rPr>
                <w:color w:val="auto"/>
                <w:sz w:val="21"/>
                <w:szCs w:val="21"/>
              </w:rPr>
            </w:pPr>
            <w:r>
              <w:rPr>
                <w:rFonts w:ascii="宋体;SimSun" w:hAnsi="宋体;SimSun" w:cs="宋体;SimSun"/>
                <w:b w:val="0"/>
                <w:bCs w:val="0"/>
              </w:rPr>
              <w:t>直接间接产品的原辅料及耗材</w:t>
            </w:r>
          </w:p>
          <w:p>
            <w:pPr>
              <w:pStyle w:val="25"/>
              <w:numPr>
                <w:ilvl w:val="0"/>
                <w:numId w:val="0"/>
              </w:numPr>
              <w:spacing w:line="360" w:lineRule="exact"/>
              <w:ind w:firstLine="210" w:firstLineChars="100"/>
              <w:rPr>
                <w:color w:val="auto"/>
                <w:sz w:val="21"/>
                <w:szCs w:val="21"/>
              </w:rPr>
            </w:pPr>
            <w:r>
              <w:rPr>
                <w:rFonts w:ascii="宋体;SimSun" w:hAnsi="宋体;SimSun" w:cs="宋体;SimSun"/>
                <w:b w:val="0"/>
                <w:bCs w:val="0"/>
              </w:rPr>
              <w:t>原辅料微生物的控制（微生物和内毒素）</w:t>
            </w:r>
            <w:r>
              <w:rPr>
                <w:rFonts w:hint="eastAsia" w:ascii="宋体;SimSun" w:hAnsi="宋体;SimSun" w:cs="宋体;SimSun"/>
                <w:b w:val="0"/>
                <w:bCs w:val="0"/>
                <w:lang w:val="en-US" w:eastAsia="zh-CN"/>
              </w:rPr>
              <w:t xml:space="preserve">  </w:t>
            </w:r>
            <w:r>
              <w:rPr>
                <w:rFonts w:ascii="宋体;SimSun" w:hAnsi="宋体;SimSun" w:cs="宋体;SimSun"/>
                <w:b w:val="0"/>
                <w:bCs w:val="0"/>
              </w:rPr>
              <w:t>生产使用耗材（过滤器、层析柱）的管理，除菌过滤及残留验证</w:t>
            </w:r>
            <w:r>
              <w:rPr>
                <w:rFonts w:hint="eastAsia" w:ascii="宋体;SimSun" w:hAnsi="宋体;SimSun" w:cs="宋体;SimSun"/>
                <w:b w:val="0"/>
                <w:bCs w:val="0"/>
                <w:lang w:val="en-US" w:eastAsia="zh-CN"/>
              </w:rPr>
              <w:t xml:space="preserve">  </w:t>
            </w:r>
            <w:r>
              <w:rPr>
                <w:rFonts w:ascii="宋体;SimSun" w:hAnsi="宋体;SimSun" w:cs="宋体;SimSun"/>
                <w:b w:val="0"/>
                <w:bCs w:val="0"/>
              </w:rPr>
              <w:t>微生物负荷和取样回收率实验</w:t>
            </w:r>
          </w:p>
          <w:p>
            <w:pPr>
              <w:pStyle w:val="25"/>
              <w:numPr>
                <w:ilvl w:val="0"/>
                <w:numId w:val="5"/>
              </w:numPr>
              <w:spacing w:line="360" w:lineRule="exact"/>
              <w:rPr>
                <w:color w:val="auto"/>
                <w:sz w:val="21"/>
                <w:szCs w:val="21"/>
              </w:rPr>
            </w:pPr>
            <w:r>
              <w:rPr>
                <w:rFonts w:ascii="宋体;SimSun" w:hAnsi="宋体;SimSun" w:cs="宋体;SimSun"/>
                <w:b w:val="0"/>
                <w:bCs w:val="0"/>
              </w:rPr>
              <w:t>灭菌方式的选择</w:t>
            </w:r>
          </w:p>
          <w:p>
            <w:pPr>
              <w:pStyle w:val="25"/>
              <w:numPr>
                <w:ilvl w:val="0"/>
                <w:numId w:val="0"/>
              </w:numPr>
              <w:spacing w:line="360" w:lineRule="exact"/>
              <w:ind w:firstLine="210" w:firstLineChars="100"/>
              <w:rPr>
                <w:color w:val="auto"/>
                <w:sz w:val="21"/>
                <w:szCs w:val="21"/>
              </w:rPr>
            </w:pPr>
            <w:r>
              <w:rPr>
                <w:rFonts w:ascii="宋体;SimSun" w:hAnsi="宋体;SimSun" w:cs="宋体;SimSun"/>
                <w:b w:val="0"/>
                <w:bCs w:val="0"/>
              </w:rPr>
              <w:t>不同灭菌方式介绍，优劣及选择</w:t>
            </w:r>
            <w:r>
              <w:rPr>
                <w:rFonts w:hint="eastAsia" w:ascii="宋体;SimSun" w:hAnsi="宋体;SimSun" w:cs="宋体;SimSun"/>
                <w:b w:val="0"/>
                <w:bCs w:val="0"/>
                <w:lang w:val="en-US" w:eastAsia="zh-CN"/>
              </w:rPr>
              <w:t xml:space="preserve">  </w:t>
            </w:r>
            <w:r>
              <w:rPr>
                <w:rFonts w:ascii="宋体;SimSun" w:hAnsi="宋体;SimSun" w:cs="宋体;SimSun"/>
                <w:b w:val="0"/>
                <w:bCs w:val="0"/>
              </w:rPr>
              <w:t>湿热灭菌工艺验证：条件筛选、物理确认、生物指示剂选择</w:t>
            </w:r>
          </w:p>
          <w:p>
            <w:pPr>
              <w:pStyle w:val="25"/>
              <w:numPr>
                <w:ilvl w:val="0"/>
                <w:numId w:val="5"/>
              </w:numPr>
              <w:spacing w:line="360" w:lineRule="exact"/>
              <w:rPr>
                <w:color w:val="auto"/>
                <w:sz w:val="21"/>
                <w:szCs w:val="21"/>
              </w:rPr>
            </w:pPr>
            <w:r>
              <w:rPr>
                <w:rFonts w:ascii="宋体;SimSun" w:hAnsi="宋体;SimSun" w:cs="宋体;SimSun"/>
                <w:b w:val="0"/>
                <w:bCs w:val="0"/>
              </w:rPr>
              <w:t>无菌工艺保障</w:t>
            </w:r>
          </w:p>
          <w:p>
            <w:pPr>
              <w:pStyle w:val="25"/>
              <w:numPr>
                <w:ilvl w:val="0"/>
                <w:numId w:val="0"/>
              </w:numPr>
              <w:spacing w:line="360" w:lineRule="exact"/>
              <w:jc w:val="left"/>
              <w:rPr>
                <w:color w:val="auto"/>
                <w:sz w:val="21"/>
                <w:szCs w:val="21"/>
              </w:rPr>
            </w:pPr>
            <w:r>
              <w:rPr>
                <w:rFonts w:hint="eastAsia" w:ascii="宋体;SimSun" w:hAnsi="宋体;SimSun" w:cs="宋体;SimSun"/>
                <w:b w:val="0"/>
                <w:bCs w:val="0"/>
                <w:color w:val="auto"/>
                <w:sz w:val="21"/>
                <w:szCs w:val="21"/>
                <w:lang w:val="en-US" w:eastAsia="zh-CN" w:bidi="ar-SA"/>
              </w:rPr>
              <w:t>a</w:t>
            </w:r>
            <w:r>
              <w:rPr>
                <w:rFonts w:ascii="宋体;SimSun" w:hAnsi="宋体;SimSun" w:eastAsia="宋体;SimSun" w:cs="宋体;SimSun"/>
                <w:b w:val="0"/>
                <w:bCs w:val="0"/>
                <w:color w:val="auto"/>
                <w:sz w:val="21"/>
                <w:szCs w:val="21"/>
                <w:lang w:eastAsia="zh-CN" w:bidi="ar-SA"/>
              </w:rPr>
              <w:t>最终灭菌工艺（</w:t>
            </w:r>
            <w:r>
              <w:rPr>
                <w:rFonts w:ascii="宋体;SimSun" w:hAnsi="宋体;SimSun" w:eastAsia="宋体;SimSun" w:cs="宋体;SimSun"/>
                <w:b w:val="0"/>
                <w:bCs w:val="0"/>
                <w:color w:val="auto"/>
                <w:sz w:val="21"/>
                <w:szCs w:val="21"/>
                <w:lang w:val="en-US" w:eastAsia="zh-CN" w:bidi="ar-SA"/>
              </w:rPr>
              <w:t>sterilizing process</w:t>
            </w:r>
            <w:r>
              <w:rPr>
                <w:rFonts w:ascii="宋体;SimSun" w:hAnsi="宋体;SimSun" w:eastAsia="宋体;SimSun" w:cs="宋体;SimSun"/>
                <w:b w:val="0"/>
                <w:bCs w:val="0"/>
                <w:color w:val="auto"/>
                <w:sz w:val="21"/>
                <w:szCs w:val="21"/>
                <w:lang w:eastAsia="zh-CN" w:bidi="ar-SA"/>
              </w:rPr>
              <w:t>）和无菌生产工艺（</w:t>
            </w:r>
            <w:r>
              <w:rPr>
                <w:rFonts w:ascii="宋体;SimSun" w:hAnsi="宋体;SimSun" w:eastAsia="宋体;SimSun" w:cs="宋体;SimSun"/>
                <w:b w:val="0"/>
                <w:bCs w:val="0"/>
                <w:color w:val="auto"/>
                <w:sz w:val="21"/>
                <w:szCs w:val="21"/>
                <w:lang w:val="en-US" w:eastAsia="zh-CN" w:bidi="ar-SA"/>
              </w:rPr>
              <w:t>aseptic processing</w:t>
            </w:r>
            <w:r>
              <w:rPr>
                <w:rFonts w:ascii="宋体;SimSun" w:hAnsi="宋体;SimSun" w:eastAsia="宋体;SimSun" w:cs="宋体;SimSun"/>
                <w:b w:val="0"/>
                <w:bCs w:val="0"/>
                <w:color w:val="auto"/>
                <w:sz w:val="21"/>
                <w:szCs w:val="21"/>
                <w:lang w:eastAsia="zh-CN" w:bidi="ar-SA"/>
              </w:rPr>
              <w:t>）的不同考虑方向</w:t>
            </w:r>
          </w:p>
          <w:p>
            <w:pPr>
              <w:pStyle w:val="25"/>
              <w:numPr>
                <w:ilvl w:val="0"/>
                <w:numId w:val="0"/>
              </w:numPr>
              <w:spacing w:line="360" w:lineRule="exact"/>
              <w:rPr>
                <w:color w:val="auto"/>
                <w:sz w:val="21"/>
                <w:szCs w:val="21"/>
                <w:lang w:eastAsia="zh-CN" w:bidi="ar-SA"/>
              </w:rPr>
            </w:pPr>
            <w:r>
              <w:rPr>
                <w:rFonts w:hint="eastAsia" w:ascii="宋体;SimSun" w:hAnsi="宋体;SimSun" w:cs="宋体;SimSun"/>
                <w:b w:val="0"/>
                <w:bCs w:val="0"/>
                <w:lang w:val="en-US" w:eastAsia="zh-CN"/>
              </w:rPr>
              <w:t>b</w:t>
            </w:r>
            <w:r>
              <w:rPr>
                <w:rFonts w:ascii="宋体;SimSun" w:hAnsi="宋体;SimSun" w:cs="宋体;SimSun"/>
                <w:b w:val="0"/>
                <w:bCs w:val="0"/>
              </w:rPr>
              <w:t>无菌工艺验证：最差条件的定</w:t>
            </w:r>
            <w:r>
              <w:rPr>
                <w:rFonts w:ascii="宋体;SimSun" w:hAnsi="宋体;SimSun" w:eastAsia="宋体;SimSun" w:cs="宋体;SimSun"/>
                <w:b w:val="0"/>
                <w:bCs w:val="0"/>
                <w:color w:val="auto"/>
                <w:sz w:val="21"/>
                <w:szCs w:val="21"/>
                <w:lang w:eastAsia="zh-CN" w:bidi="ar-SA"/>
              </w:rPr>
              <w:t>义、无菌分装、除菌过滤、培养基模拟灌装、过滤系统验证</w:t>
            </w:r>
          </w:p>
        </w:tc>
      </w:tr>
    </w:tbl>
    <w:p>
      <w:pPr>
        <w:pStyle w:val="4"/>
        <w:tabs>
          <w:tab w:val="left" w:pos="1440"/>
          <w:tab w:val="left" w:pos="2100"/>
        </w:tabs>
        <w:spacing w:line="470" w:lineRule="exact"/>
        <w:ind w:firstLine="0"/>
        <w:rPr>
          <w:sz w:val="36"/>
          <w:szCs w:val="36"/>
        </w:rPr>
      </w:pPr>
      <w:r>
        <w:rPr>
          <w:rFonts w:cs="宋体;SimSun"/>
          <w:szCs w:val="28"/>
        </w:rPr>
        <w:t xml:space="preserve">                </w:t>
      </w:r>
    </w:p>
    <w:p>
      <w:pPr>
        <w:rPr>
          <w:rFonts w:ascii="仿宋_GB2312;微软雅黑" w:hAnsi="仿宋_GB2312;微软雅黑" w:eastAsia="仿宋_GB2312;微软雅黑"/>
          <w:b/>
          <w:bCs/>
          <w:sz w:val="32"/>
          <w:szCs w:val="32"/>
        </w:rPr>
      </w:pPr>
      <w:r>
        <w:rPr>
          <w:rFonts w:ascii="仿宋_GB2312;微软雅黑" w:hAnsi="仿宋_GB2312;微软雅黑" w:eastAsia="仿宋_GB2312;微软雅黑" w:cs="仿宋_GB2312;微软雅黑"/>
          <w:b/>
          <w:bCs/>
          <w:sz w:val="32"/>
          <w:szCs w:val="32"/>
        </w:rPr>
        <w:t xml:space="preserve">  </w:t>
      </w:r>
      <w:r>
        <w:rPr>
          <w:rFonts w:hint="eastAsia" w:ascii="仿宋_GB2312;微软雅黑" w:hAnsi="仿宋_GB2312;微软雅黑" w:eastAsia="仿宋_GB2312;微软雅黑" w:cs="仿宋_GB2312;微软雅黑"/>
          <w:b/>
          <w:bCs/>
          <w:sz w:val="32"/>
          <w:szCs w:val="32"/>
          <w:lang w:val="en-US" w:eastAsia="zh-CN"/>
        </w:rPr>
        <w:t xml:space="preserve">   </w:t>
      </w:r>
      <w:r>
        <w:rPr>
          <w:rFonts w:ascii="宋体;SimSun" w:hAnsi="宋体;SimSun" w:eastAsia="宋体;SimSun" w:cs="宋体;SimSun"/>
          <w:b/>
          <w:bCs/>
          <w:color w:val="auto"/>
          <w:sz w:val="32"/>
          <w:szCs w:val="32"/>
          <w:lang w:eastAsia="zh-CN" w:bidi="ar-SA"/>
        </w:rPr>
        <w:t>无菌生产如何通过国内外cGMP认证</w:t>
      </w:r>
      <w:bookmarkStart w:id="0" w:name="_GoBack"/>
      <w:bookmarkEnd w:id="0"/>
      <w:r>
        <w:rPr>
          <w:rFonts w:hint="eastAsia" w:ascii="宋体;SimSun" w:hAnsi="宋体;SimSun" w:cs="宋体;SimSun"/>
          <w:b/>
          <w:bCs/>
          <w:color w:val="auto"/>
          <w:sz w:val="32"/>
          <w:szCs w:val="32"/>
          <w:lang w:eastAsia="zh-CN" w:bidi="ar-SA"/>
        </w:rPr>
        <w:t>专题培训班</w:t>
      </w:r>
    </w:p>
    <w:p>
      <w:pPr>
        <w:jc w:val="center"/>
        <w:rPr>
          <w:rFonts w:ascii="仿宋_GB2312;微软雅黑" w:hAnsi="仿宋_GB2312;微软雅黑" w:eastAsia="仿宋_GB2312;微软雅黑"/>
          <w:b/>
          <w:bCs/>
          <w:sz w:val="32"/>
          <w:szCs w:val="32"/>
        </w:rPr>
      </w:pPr>
      <w:r>
        <w:rPr>
          <w:rFonts w:ascii="仿宋_GB2312;微软雅黑" w:hAnsi="仿宋_GB2312;微软雅黑" w:eastAsia="仿宋_GB2312;微软雅黑"/>
          <w:b/>
          <w:bCs/>
          <w:sz w:val="32"/>
          <w:szCs w:val="32"/>
        </w:rPr>
        <w:t>回执表</w:t>
      </w:r>
    </w:p>
    <w:tbl>
      <w:tblPr>
        <w:tblStyle w:val="11"/>
        <w:tblW w:w="92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
      <w:tblGrid>
        <w:gridCol w:w="1437"/>
        <w:gridCol w:w="794"/>
        <w:gridCol w:w="1005"/>
        <w:gridCol w:w="1159"/>
        <w:gridCol w:w="722"/>
        <w:gridCol w:w="900"/>
        <w:gridCol w:w="1647"/>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jc w:val="center"/>
        </w:trPr>
        <w:tc>
          <w:tcPr>
            <w:tcW w:w="9287" w:type="dxa"/>
            <w:gridSpan w:val="8"/>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snapToGrid w:val="0"/>
              <w:spacing w:line="420" w:lineRule="exact"/>
              <w:rPr>
                <w:rFonts w:ascii="仿宋_GB2312;微软雅黑" w:hAnsi="仿宋_GB2312;微软雅黑" w:eastAsia="仿宋_GB2312;微软雅黑"/>
                <w:b/>
                <w:bCs/>
                <w:w w:val="90"/>
                <w:sz w:val="30"/>
              </w:rPr>
            </w:pPr>
            <w:r>
              <w:rPr>
                <w:rFonts w:ascii="仿宋_GB2312;微软雅黑" w:hAnsi="仿宋_GB2312;微软雅黑" w:eastAsia="仿宋_GB2312;微软雅黑"/>
                <w:b/>
                <w:bCs/>
                <w:w w:val="90"/>
                <w:sz w:val="30"/>
              </w:rPr>
              <w:t>针对本次活动专题内容，结合实际工作中遇到哪些问题？以便我们反馈给老师并到会场交流探讨、答疑解惑。</w:t>
            </w:r>
          </w:p>
          <w:p>
            <w:pPr>
              <w:rPr>
                <w:rFonts w:ascii="仿宋_GB2312;微软雅黑" w:hAnsi="仿宋_GB2312;微软雅黑" w:eastAsia="仿宋_GB2312;微软雅黑" w:cs="宋体;SimSun"/>
                <w:sz w:val="28"/>
                <w:szCs w:val="28"/>
                <w:u w:val="single"/>
              </w:rPr>
            </w:pPr>
            <w:r>
              <w:rPr>
                <w:rFonts w:ascii="仿宋_GB2312;微软雅黑" w:hAnsi="仿宋_GB2312;微软雅黑" w:eastAsia="仿宋_GB2312;微软雅黑" w:cs="宋体;SimSun"/>
                <w:sz w:val="28"/>
                <w:szCs w:val="28"/>
              </w:rPr>
              <w:t>问题1、</w:t>
            </w:r>
            <w:r>
              <w:rPr>
                <w:rFonts w:ascii="仿宋_GB2312;微软雅黑" w:hAnsi="仿宋_GB2312;微软雅黑" w:eastAsia="仿宋_GB2312;微软雅黑" w:cs="宋体;SimSun"/>
                <w:sz w:val="28"/>
                <w:szCs w:val="28"/>
                <w:u w:val="single"/>
              </w:rPr>
              <w:t xml:space="preserve">                                          </w:t>
            </w:r>
          </w:p>
          <w:p>
            <w:pPr>
              <w:rPr>
                <w:rFonts w:ascii="仿宋_GB2312;微软雅黑" w:hAnsi="仿宋_GB2312;微软雅黑" w:eastAsia="仿宋_GB2312;微软雅黑" w:cs="宋体;SimSun"/>
                <w:sz w:val="28"/>
                <w:u w:val="single"/>
              </w:rPr>
            </w:pPr>
          </w:p>
          <w:p>
            <w:pPr>
              <w:rPr>
                <w:rFonts w:ascii="仿宋_GB2312;微软雅黑" w:hAnsi="仿宋_GB2312;微软雅黑" w:eastAsia="仿宋_GB2312;微软雅黑" w:cs="宋体;SimSun"/>
                <w:sz w:val="28"/>
                <w:szCs w:val="28"/>
              </w:rPr>
            </w:pPr>
            <w:r>
              <w:rPr>
                <w:rFonts w:ascii="仿宋_GB2312;微软雅黑" w:hAnsi="仿宋_GB2312;微软雅黑" w:eastAsia="仿宋_GB2312;微软雅黑" w:cs="宋体;SimSun"/>
                <w:sz w:val="28"/>
                <w:szCs w:val="28"/>
              </w:rPr>
              <w:t>问题2、</w:t>
            </w:r>
            <w:r>
              <w:rPr>
                <w:rFonts w:ascii="仿宋_GB2312;微软雅黑" w:hAnsi="仿宋_GB2312;微软雅黑" w:eastAsia="仿宋_GB2312;微软雅黑" w:cs="宋体;SimSun"/>
                <w:sz w:val="28"/>
                <w:szCs w:val="28"/>
                <w:u w:val="single"/>
              </w:rPr>
              <w:t xml:space="preserve">                                           </w:t>
            </w:r>
          </w:p>
          <w:p>
            <w:pPr>
              <w:rPr>
                <w:rFonts w:ascii="仿宋_GB2312;微软雅黑" w:hAnsi="仿宋_GB2312;微软雅黑" w:eastAsia="仿宋_GB2312;微软雅黑" w:cs="宋体;SimSu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437" w:type="dxa"/>
            <w:tcBorders>
              <w:top w:val="single" w:color="000000" w:sz="4" w:space="0"/>
              <w:left w:val="single" w:color="000000" w:sz="4" w:space="0"/>
              <w:bottom w:val="single" w:color="000000" w:sz="4" w:space="0"/>
              <w:insideH w:val="single" w:sz="4" w:space="0"/>
            </w:tcBorders>
            <w:shd w:val="clear" w:color="auto" w:fill="auto"/>
            <w:vAlign w:val="center"/>
          </w:tcPr>
          <w:p>
            <w:pPr>
              <w:jc w:val="center"/>
              <w:rPr>
                <w:rFonts w:ascii="仿宋_GB2312;微软雅黑" w:hAnsi="仿宋_GB2312;微软雅黑" w:eastAsia="仿宋_GB2312;微软雅黑" w:cs="宋体;SimSun"/>
                <w:sz w:val="28"/>
              </w:rPr>
            </w:pPr>
            <w:r>
              <w:rPr>
                <w:rFonts w:ascii="仿宋_GB2312;微软雅黑" w:hAnsi="仿宋_GB2312;微软雅黑" w:eastAsia="仿宋_GB2312;微软雅黑" w:cs="宋体;SimSun"/>
                <w:sz w:val="28"/>
              </w:rPr>
              <w:t>单位名称</w:t>
            </w:r>
          </w:p>
        </w:tc>
        <w:tc>
          <w:tcPr>
            <w:tcW w:w="4580" w:type="dxa"/>
            <w:gridSpan w:val="5"/>
            <w:tcBorders>
              <w:top w:val="single" w:color="000000" w:sz="4" w:space="0"/>
              <w:left w:val="single" w:color="000000" w:sz="4" w:space="0"/>
              <w:bottom w:val="single" w:color="000000" w:sz="4" w:space="0"/>
              <w:insideH w:val="single" w:sz="4" w:space="0"/>
            </w:tcBorders>
            <w:shd w:val="clear" w:color="auto" w:fill="auto"/>
            <w:vAlign w:val="center"/>
          </w:tcPr>
          <w:p>
            <w:pPr>
              <w:snapToGrid w:val="0"/>
              <w:jc w:val="center"/>
              <w:rPr>
                <w:rFonts w:ascii="仿宋_GB2312;微软雅黑" w:hAnsi="仿宋_GB2312;微软雅黑" w:eastAsia="仿宋_GB2312;微软雅黑" w:cs="宋体;SimSun"/>
                <w:sz w:val="28"/>
              </w:rPr>
            </w:pPr>
          </w:p>
        </w:tc>
        <w:tc>
          <w:tcPr>
            <w:tcW w:w="1647" w:type="dxa"/>
            <w:tcBorders>
              <w:top w:val="single" w:color="000000" w:sz="4" w:space="0"/>
              <w:left w:val="single" w:color="000000" w:sz="4" w:space="0"/>
              <w:bottom w:val="single" w:color="000000" w:sz="4" w:space="0"/>
              <w:insideH w:val="single" w:sz="4" w:space="0"/>
            </w:tcBorders>
            <w:shd w:val="clear" w:color="auto" w:fill="auto"/>
            <w:vAlign w:val="center"/>
          </w:tcPr>
          <w:p>
            <w:pPr>
              <w:jc w:val="center"/>
              <w:rPr>
                <w:rFonts w:ascii="仿宋_GB2312;微软雅黑" w:hAnsi="仿宋_GB2312;微软雅黑" w:eastAsia="仿宋_GB2312;微软雅黑" w:cs="宋体;SimSun"/>
                <w:sz w:val="28"/>
              </w:rPr>
            </w:pPr>
            <w:r>
              <w:rPr>
                <w:rFonts w:ascii="仿宋_GB2312;微软雅黑" w:hAnsi="仿宋_GB2312;微软雅黑" w:eastAsia="仿宋_GB2312;微软雅黑" w:cs="宋体;SimSun"/>
                <w:sz w:val="28"/>
              </w:rPr>
              <w:t>联系人</w:t>
            </w:r>
          </w:p>
        </w:tc>
        <w:tc>
          <w:tcPr>
            <w:tcW w:w="1623"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snapToGrid w:val="0"/>
              <w:jc w:val="center"/>
              <w:rPr>
                <w:rFonts w:ascii="仿宋_GB2312;微软雅黑" w:hAnsi="仿宋_GB2312;微软雅黑" w:eastAsia="仿宋_GB2312;微软雅黑" w:cs="宋体;SimSu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trHeight w:val="558" w:hRule="atLeast"/>
          <w:jc w:val="center"/>
        </w:trPr>
        <w:tc>
          <w:tcPr>
            <w:tcW w:w="1437" w:type="dxa"/>
            <w:tcBorders>
              <w:top w:val="single" w:color="000000" w:sz="4" w:space="0"/>
              <w:left w:val="single" w:color="000000" w:sz="4" w:space="0"/>
              <w:bottom w:val="single" w:color="000000" w:sz="4" w:space="0"/>
              <w:insideH w:val="single" w:sz="4" w:space="0"/>
            </w:tcBorders>
            <w:shd w:val="clear" w:color="auto" w:fill="auto"/>
            <w:vAlign w:val="center"/>
          </w:tcPr>
          <w:p>
            <w:pPr>
              <w:jc w:val="center"/>
            </w:pPr>
            <w:r>
              <w:rPr>
                <w:rFonts w:ascii="仿宋_GB2312;微软雅黑" w:hAnsi="仿宋_GB2312;微软雅黑" w:eastAsia="仿宋_GB2312;微软雅黑" w:cs="宋体;SimSun"/>
                <w:sz w:val="28"/>
              </w:rPr>
              <w:t>地  址</w:t>
            </w:r>
          </w:p>
        </w:tc>
        <w:tc>
          <w:tcPr>
            <w:tcW w:w="4580" w:type="dxa"/>
            <w:gridSpan w:val="5"/>
            <w:tcBorders>
              <w:top w:val="single" w:color="000000" w:sz="4" w:space="0"/>
              <w:left w:val="single" w:color="000000" w:sz="4" w:space="0"/>
              <w:bottom w:val="single" w:color="000000" w:sz="4" w:space="0"/>
              <w:insideH w:val="single" w:sz="4" w:space="0"/>
            </w:tcBorders>
            <w:shd w:val="clear" w:color="auto" w:fill="auto"/>
            <w:vAlign w:val="center"/>
          </w:tcPr>
          <w:p>
            <w:pPr>
              <w:snapToGrid w:val="0"/>
              <w:jc w:val="center"/>
              <w:rPr>
                <w:rFonts w:ascii="仿宋_GB2312;微软雅黑" w:hAnsi="仿宋_GB2312;微软雅黑" w:eastAsia="仿宋_GB2312;微软雅黑" w:cs="宋体;SimSun"/>
                <w:sz w:val="28"/>
              </w:rPr>
            </w:pPr>
          </w:p>
        </w:tc>
        <w:tc>
          <w:tcPr>
            <w:tcW w:w="1647" w:type="dxa"/>
            <w:tcBorders>
              <w:top w:val="single" w:color="000000" w:sz="4" w:space="0"/>
              <w:left w:val="single" w:color="000000" w:sz="4" w:space="0"/>
              <w:bottom w:val="single" w:color="000000" w:sz="4" w:space="0"/>
              <w:insideH w:val="single" w:sz="4" w:space="0"/>
            </w:tcBorders>
            <w:shd w:val="clear" w:color="auto" w:fill="auto"/>
            <w:vAlign w:val="center"/>
          </w:tcPr>
          <w:p>
            <w:pPr>
              <w:jc w:val="center"/>
            </w:pPr>
            <w:r>
              <w:rPr>
                <w:rFonts w:ascii="仿宋_GB2312;微软雅黑" w:hAnsi="仿宋_GB2312;微软雅黑" w:eastAsia="仿宋_GB2312;微软雅黑" w:cs="宋体;SimSun"/>
                <w:sz w:val="28"/>
              </w:rPr>
              <w:t>邮  编</w:t>
            </w:r>
          </w:p>
        </w:tc>
        <w:tc>
          <w:tcPr>
            <w:tcW w:w="1623"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snapToGrid w:val="0"/>
              <w:jc w:val="center"/>
              <w:rPr>
                <w:rFonts w:ascii="仿宋_GB2312;微软雅黑" w:hAnsi="仿宋_GB2312;微软雅黑" w:eastAsia="仿宋_GB2312;微软雅黑" w:cs="宋体;SimSu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cantSplit/>
          <w:jc w:val="center"/>
        </w:trPr>
        <w:tc>
          <w:tcPr>
            <w:tcW w:w="1437" w:type="dxa"/>
            <w:tcBorders>
              <w:top w:val="single" w:color="000000" w:sz="4" w:space="0"/>
              <w:left w:val="single" w:color="000000" w:sz="4" w:space="0"/>
              <w:bottom w:val="single" w:color="000000" w:sz="4" w:space="0"/>
              <w:insideH w:val="single" w:sz="4" w:space="0"/>
            </w:tcBorders>
            <w:shd w:val="clear" w:color="auto" w:fill="auto"/>
            <w:vAlign w:val="center"/>
          </w:tcPr>
          <w:p>
            <w:pPr>
              <w:jc w:val="center"/>
            </w:pPr>
            <w:r>
              <w:rPr>
                <w:rFonts w:ascii="仿宋_GB2312;微软雅黑" w:hAnsi="仿宋_GB2312;微软雅黑" w:eastAsia="仿宋_GB2312;微软雅黑" w:cs="宋体;SimSun"/>
                <w:sz w:val="28"/>
              </w:rPr>
              <w:t>姓  名</w:t>
            </w:r>
          </w:p>
        </w:tc>
        <w:tc>
          <w:tcPr>
            <w:tcW w:w="794" w:type="dxa"/>
            <w:tcBorders>
              <w:top w:val="single" w:color="000000" w:sz="4" w:space="0"/>
              <w:left w:val="single" w:color="000000" w:sz="4" w:space="0"/>
              <w:bottom w:val="single" w:color="000000" w:sz="4" w:space="0"/>
              <w:insideH w:val="single" w:sz="4" w:space="0"/>
            </w:tcBorders>
            <w:shd w:val="clear" w:color="auto" w:fill="auto"/>
            <w:vAlign w:val="center"/>
          </w:tcPr>
          <w:p>
            <w:pPr>
              <w:jc w:val="center"/>
              <w:rPr>
                <w:rFonts w:ascii="仿宋_GB2312;微软雅黑" w:hAnsi="仿宋_GB2312;微软雅黑" w:eastAsia="仿宋_GB2312;微软雅黑" w:cs="宋体;SimSun"/>
                <w:sz w:val="28"/>
              </w:rPr>
            </w:pPr>
            <w:r>
              <w:rPr>
                <w:rFonts w:ascii="仿宋_GB2312;微软雅黑" w:hAnsi="仿宋_GB2312;微软雅黑" w:eastAsia="仿宋_GB2312;微软雅黑" w:cs="宋体;SimSun"/>
                <w:sz w:val="28"/>
              </w:rPr>
              <w:t>性别</w:t>
            </w:r>
          </w:p>
        </w:tc>
        <w:tc>
          <w:tcPr>
            <w:tcW w:w="1005" w:type="dxa"/>
            <w:tcBorders>
              <w:top w:val="single" w:color="000000" w:sz="4" w:space="0"/>
              <w:left w:val="single" w:color="000000" w:sz="4" w:space="0"/>
              <w:bottom w:val="single" w:color="000000" w:sz="4" w:space="0"/>
              <w:insideH w:val="single" w:sz="4" w:space="0"/>
            </w:tcBorders>
            <w:shd w:val="clear" w:color="auto" w:fill="auto"/>
            <w:vAlign w:val="center"/>
          </w:tcPr>
          <w:p>
            <w:pPr>
              <w:jc w:val="center"/>
              <w:rPr>
                <w:rFonts w:ascii="仿宋_GB2312;微软雅黑" w:hAnsi="仿宋_GB2312;微软雅黑" w:eastAsia="仿宋_GB2312;微软雅黑" w:cs="宋体;SimSun"/>
                <w:sz w:val="28"/>
              </w:rPr>
            </w:pPr>
            <w:r>
              <w:rPr>
                <w:rFonts w:ascii="仿宋_GB2312;微软雅黑" w:hAnsi="仿宋_GB2312;微软雅黑" w:eastAsia="仿宋_GB2312;微软雅黑" w:cs="宋体;SimSun"/>
                <w:sz w:val="28"/>
              </w:rPr>
              <w:t>职务</w:t>
            </w:r>
          </w:p>
        </w:tc>
        <w:tc>
          <w:tcPr>
            <w:tcW w:w="1881"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jc w:val="center"/>
              <w:rPr>
                <w:rFonts w:ascii="仿宋_GB2312;微软雅黑" w:hAnsi="仿宋_GB2312;微软雅黑" w:eastAsia="仿宋_GB2312;微软雅黑" w:cs="宋体;SimSun"/>
                <w:sz w:val="28"/>
              </w:rPr>
            </w:pPr>
            <w:r>
              <w:rPr>
                <w:rFonts w:ascii="仿宋_GB2312;微软雅黑" w:hAnsi="仿宋_GB2312;微软雅黑" w:eastAsia="仿宋_GB2312;微软雅黑" w:cs="宋体;SimSun"/>
                <w:sz w:val="28"/>
              </w:rPr>
              <w:t>电 话</w:t>
            </w:r>
          </w:p>
        </w:tc>
        <w:tc>
          <w:tcPr>
            <w:tcW w:w="2547"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ind w:left="1" w:hanging="1"/>
              <w:jc w:val="center"/>
              <w:rPr>
                <w:rFonts w:ascii="Arial" w:hAnsi="Arial" w:cs="Arial"/>
                <w:sz w:val="28"/>
                <w:szCs w:val="28"/>
              </w:rPr>
            </w:pPr>
            <w:r>
              <w:rPr>
                <w:rFonts w:ascii="仿宋_GB2312;微软雅黑" w:hAnsi="仿宋_GB2312;微软雅黑" w:eastAsia="仿宋_GB2312;微软雅黑" w:cs="宋体;SimSun"/>
                <w:sz w:val="28"/>
                <w:szCs w:val="28"/>
              </w:rPr>
              <w:t>传真/</w:t>
            </w:r>
            <w:r>
              <w:rPr>
                <w:rFonts w:ascii="Arial" w:hAnsi="Arial" w:eastAsia="仿宋_GB2312;微软雅黑" w:cs="Arial"/>
                <w:sz w:val="28"/>
                <w:szCs w:val="28"/>
              </w:rPr>
              <w:t>E-mail</w:t>
            </w:r>
          </w:p>
        </w:tc>
        <w:tc>
          <w:tcPr>
            <w:tcW w:w="1623"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jc w:val="center"/>
            </w:pPr>
            <w:r>
              <w:rPr>
                <w:rFonts w:ascii="仿宋_GB2312;微软雅黑" w:hAnsi="仿宋_GB2312;微软雅黑" w:eastAsia="仿宋_GB2312;微软雅黑" w:cs="宋体;SimSun"/>
                <w:sz w:val="28"/>
              </w:rPr>
              <w:t>手 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cantSplit/>
          <w:trHeight w:val="630" w:hRule="atLeast"/>
          <w:jc w:val="center"/>
        </w:trPr>
        <w:tc>
          <w:tcPr>
            <w:tcW w:w="1437"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794"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005"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881"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2547"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623"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widowControl/>
              <w:snapToGrid w:val="0"/>
              <w:jc w:val="left"/>
              <w:rPr>
                <w:rFonts w:ascii="仿宋_GB2312;微软雅黑" w:hAnsi="仿宋_GB2312;微软雅黑" w:eastAsia="仿宋_GB2312;微软雅黑" w:cs="宋体;SimSu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cantSplit/>
          <w:trHeight w:val="630" w:hRule="atLeast"/>
          <w:jc w:val="center"/>
        </w:trPr>
        <w:tc>
          <w:tcPr>
            <w:tcW w:w="1437"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794"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005"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881"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2547"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623"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widowControl/>
              <w:snapToGrid w:val="0"/>
              <w:jc w:val="left"/>
              <w:rPr>
                <w:rFonts w:ascii="仿宋_GB2312;微软雅黑" w:hAnsi="仿宋_GB2312;微软雅黑" w:eastAsia="仿宋_GB2312;微软雅黑" w:cs="宋体;SimSu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cantSplit/>
          <w:trHeight w:val="630" w:hRule="atLeast"/>
          <w:jc w:val="center"/>
        </w:trPr>
        <w:tc>
          <w:tcPr>
            <w:tcW w:w="1437"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794"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005"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881"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2547"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snapToGrid w:val="0"/>
              <w:rPr>
                <w:rFonts w:ascii="仿宋_GB2312;微软雅黑" w:hAnsi="仿宋_GB2312;微软雅黑" w:eastAsia="仿宋_GB2312;微软雅黑" w:cs="宋体;SimSun"/>
                <w:sz w:val="28"/>
              </w:rPr>
            </w:pPr>
          </w:p>
        </w:tc>
        <w:tc>
          <w:tcPr>
            <w:tcW w:w="1623"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widowControl/>
              <w:snapToGrid w:val="0"/>
              <w:jc w:val="left"/>
              <w:rPr>
                <w:rFonts w:ascii="仿宋_GB2312;微软雅黑" w:hAnsi="仿宋_GB2312;微软雅黑" w:eastAsia="仿宋_GB2312;微软雅黑" w:cs="宋体;SimSu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trHeight w:val="630" w:hRule="atLeast"/>
          <w:jc w:val="center"/>
        </w:trPr>
        <w:tc>
          <w:tcPr>
            <w:tcW w:w="1437"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spacing w:line="440" w:lineRule="exact"/>
              <w:rPr>
                <w:rFonts w:ascii="仿宋_GB2312;微软雅黑" w:hAnsi="仿宋_GB2312;微软雅黑" w:eastAsia="仿宋_GB2312;微软雅黑" w:cs="宋体;SimSun"/>
                <w:b/>
                <w:sz w:val="28"/>
              </w:rPr>
            </w:pPr>
          </w:p>
        </w:tc>
        <w:tc>
          <w:tcPr>
            <w:tcW w:w="794"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spacing w:line="440" w:lineRule="exact"/>
              <w:rPr>
                <w:rFonts w:ascii="仿宋_GB2312;微软雅黑" w:hAnsi="仿宋_GB2312;微软雅黑" w:eastAsia="仿宋_GB2312;微软雅黑" w:cs="宋体;SimSun"/>
                <w:b/>
                <w:sz w:val="28"/>
              </w:rPr>
            </w:pPr>
          </w:p>
        </w:tc>
        <w:tc>
          <w:tcPr>
            <w:tcW w:w="1005" w:type="dxa"/>
            <w:tcBorders>
              <w:top w:val="single" w:color="000000" w:sz="4" w:space="0"/>
              <w:left w:val="single" w:color="000000" w:sz="4" w:space="0"/>
              <w:bottom w:val="single" w:color="000000" w:sz="4" w:space="0"/>
              <w:insideH w:val="single" w:sz="4" w:space="0"/>
            </w:tcBorders>
            <w:shd w:val="clear" w:color="auto" w:fill="auto"/>
            <w:vAlign w:val="center"/>
          </w:tcPr>
          <w:p>
            <w:pPr>
              <w:snapToGrid w:val="0"/>
              <w:spacing w:line="440" w:lineRule="exact"/>
              <w:rPr>
                <w:rFonts w:ascii="仿宋_GB2312;微软雅黑" w:hAnsi="仿宋_GB2312;微软雅黑" w:eastAsia="仿宋_GB2312;微软雅黑" w:cs="宋体;SimSun"/>
                <w:sz w:val="28"/>
              </w:rPr>
            </w:pPr>
          </w:p>
        </w:tc>
        <w:tc>
          <w:tcPr>
            <w:tcW w:w="1881"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snapToGrid w:val="0"/>
              <w:spacing w:line="440" w:lineRule="exact"/>
              <w:rPr>
                <w:rFonts w:ascii="仿宋_GB2312;微软雅黑" w:hAnsi="仿宋_GB2312;微软雅黑" w:eastAsia="仿宋_GB2312;微软雅黑" w:cs="宋体;SimSun"/>
                <w:sz w:val="28"/>
              </w:rPr>
            </w:pPr>
          </w:p>
        </w:tc>
        <w:tc>
          <w:tcPr>
            <w:tcW w:w="2547" w:type="dxa"/>
            <w:gridSpan w:val="2"/>
            <w:tcBorders>
              <w:top w:val="single" w:color="000000" w:sz="4" w:space="0"/>
              <w:left w:val="single" w:color="000000" w:sz="4" w:space="0"/>
              <w:bottom w:val="single" w:color="000000" w:sz="4" w:space="0"/>
              <w:insideH w:val="single" w:sz="4" w:space="0"/>
            </w:tcBorders>
            <w:shd w:val="clear" w:color="auto" w:fill="auto"/>
            <w:vAlign w:val="center"/>
          </w:tcPr>
          <w:p>
            <w:pPr>
              <w:snapToGrid w:val="0"/>
              <w:spacing w:line="440" w:lineRule="exact"/>
              <w:rPr>
                <w:rFonts w:ascii="仿宋_GB2312;微软雅黑" w:hAnsi="仿宋_GB2312;微软雅黑" w:eastAsia="仿宋_GB2312;微软雅黑" w:cs="宋体;SimSun"/>
                <w:sz w:val="28"/>
              </w:rPr>
            </w:pPr>
          </w:p>
        </w:tc>
        <w:tc>
          <w:tcPr>
            <w:tcW w:w="1623"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snapToGrid w:val="0"/>
              <w:spacing w:line="440" w:lineRule="exact"/>
              <w:rPr>
                <w:rFonts w:ascii="仿宋_GB2312;微软雅黑" w:hAnsi="仿宋_GB2312;微软雅黑" w:eastAsia="仿宋_GB2312;微软雅黑" w:cs="宋体;SimSu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trHeight w:val="630" w:hRule="atLeast"/>
          <w:jc w:val="center"/>
        </w:trPr>
        <w:tc>
          <w:tcPr>
            <w:tcW w:w="4395" w:type="dxa"/>
            <w:gridSpan w:val="4"/>
            <w:tcBorders>
              <w:top w:val="single" w:color="000000" w:sz="4" w:space="0"/>
              <w:left w:val="single" w:color="000000" w:sz="4" w:space="0"/>
              <w:bottom w:val="single" w:color="000000" w:sz="4" w:space="0"/>
              <w:insideH w:val="single" w:sz="4" w:space="0"/>
            </w:tcBorders>
            <w:shd w:val="clear" w:color="auto" w:fill="auto"/>
            <w:vAlign w:val="center"/>
          </w:tcPr>
          <w:p>
            <w:pPr>
              <w:spacing w:line="440" w:lineRule="exact"/>
              <w:rPr>
                <w:rFonts w:ascii="仿宋_GB2312;微软雅黑" w:hAnsi="仿宋_GB2312;微软雅黑" w:eastAsia="仿宋_GB2312;微软雅黑" w:cs="宋体;SimSun"/>
                <w:sz w:val="28"/>
                <w:szCs w:val="28"/>
              </w:rPr>
            </w:pPr>
            <w:r>
              <w:rPr>
                <w:rFonts w:ascii="仿宋_GB2312;微软雅黑" w:hAnsi="仿宋_GB2312;微软雅黑" w:eastAsia="仿宋_GB2312;微软雅黑" w:cs="宋体;SimSun"/>
                <w:sz w:val="28"/>
                <w:szCs w:val="28"/>
              </w:rPr>
              <w:t>住宿是否需要单间：是</w:t>
            </w:r>
            <w:r>
              <w:rPr>
                <w:rFonts w:ascii="仿宋_GB2312;微软雅黑" w:hAnsi="仿宋_GB2312;微软雅黑" w:eastAsia="仿宋_GB2312;微软雅黑" w:cs="宋体;SimSun"/>
                <w:sz w:val="32"/>
                <w:szCs w:val="32"/>
              </w:rPr>
              <w:t xml:space="preserve">○  否○ </w:t>
            </w:r>
          </w:p>
        </w:tc>
        <w:tc>
          <w:tcPr>
            <w:tcW w:w="4892" w:type="dxa"/>
            <w:gridSpan w:val="4"/>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pPr>
              <w:spacing w:line="440" w:lineRule="exact"/>
              <w:rPr>
                <w:rFonts w:ascii="仿宋_GB2312;微软雅黑" w:hAnsi="仿宋_GB2312;微软雅黑" w:eastAsia="仿宋_GB2312;微软雅黑" w:cs="宋体;SimSun"/>
                <w:sz w:val="28"/>
                <w:szCs w:val="28"/>
              </w:rPr>
            </w:pPr>
            <w:r>
              <w:rPr>
                <w:rFonts w:ascii="仿宋_GB2312;微软雅黑" w:hAnsi="仿宋_GB2312;微软雅黑" w:eastAsia="仿宋_GB2312;微软雅黑" w:cs="宋体;SimSun"/>
                <w:sz w:val="28"/>
                <w:szCs w:val="28"/>
              </w:rPr>
              <w:t xml:space="preserve">入住时间: </w:t>
            </w:r>
            <w:r>
              <w:rPr>
                <w:rFonts w:ascii="仿宋_GB2312;微软雅黑" w:hAnsi="仿宋_GB2312;微软雅黑" w:eastAsia="仿宋_GB2312;微软雅黑" w:cs="宋体;SimSun"/>
                <w:sz w:val="28"/>
                <w:szCs w:val="28"/>
                <w:u w:val="single"/>
              </w:rPr>
              <w:t xml:space="preserve">    </w:t>
            </w:r>
            <w:r>
              <w:rPr>
                <w:rFonts w:ascii="仿宋_GB2312;微软雅黑" w:hAnsi="仿宋_GB2312;微软雅黑" w:eastAsia="仿宋_GB2312;微软雅黑" w:cs="宋体;SimSun"/>
                <w:sz w:val="28"/>
                <w:szCs w:val="28"/>
              </w:rPr>
              <w:t xml:space="preserve"> 日至</w:t>
            </w:r>
            <w:r>
              <w:rPr>
                <w:rFonts w:ascii="仿宋_GB2312;微软雅黑" w:hAnsi="仿宋_GB2312;微软雅黑" w:eastAsia="仿宋_GB2312;微软雅黑" w:cs="宋体;SimSun"/>
                <w:sz w:val="28"/>
                <w:szCs w:val="28"/>
                <w:u w:val="single"/>
              </w:rPr>
              <w:t xml:space="preserve">     </w:t>
            </w:r>
            <w:r>
              <w:rPr>
                <w:rFonts w:ascii="仿宋_GB2312;微软雅黑" w:hAnsi="仿宋_GB2312;微软雅黑" w:eastAsia="仿宋_GB2312;微软雅黑" w:cs="宋体;SimSun"/>
                <w:sz w:val="28"/>
                <w:szCs w:val="28"/>
              </w:rPr>
              <w:t xml:space="preserve">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3" w:type="dxa"/>
            <w:bottom w:w="0" w:type="dxa"/>
            <w:right w:w="108" w:type="dxa"/>
          </w:tblCellMar>
        </w:tblPrEx>
        <w:trPr>
          <w:trHeight w:val="2242" w:hRule="atLeast"/>
          <w:jc w:val="center"/>
        </w:trPr>
        <w:tc>
          <w:tcPr>
            <w:tcW w:w="4395" w:type="dxa"/>
            <w:gridSpan w:val="4"/>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tcPr>
          <w:p>
            <w:pPr>
              <w:rPr>
                <w:rFonts w:ascii="仿宋_GB2312;微软雅黑" w:hAnsi="仿宋_GB2312;微软雅黑" w:eastAsia="仿宋_GB2312;微软雅黑" w:cs="宋体;SimSun"/>
                <w:sz w:val="28"/>
              </w:rPr>
            </w:pPr>
          </w:p>
        </w:tc>
        <w:tc>
          <w:tcPr>
            <w:tcW w:w="4892" w:type="dxa"/>
            <w:gridSpan w:val="4"/>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tcPr>
          <w:p>
            <w:pPr>
              <w:rPr>
                <w:rFonts w:ascii="仿宋_GB2312;微软雅黑" w:hAnsi="仿宋_GB2312;微软雅黑" w:eastAsia="仿宋_GB2312;微软雅黑" w:cs="宋体;SimSun"/>
                <w:sz w:val="28"/>
              </w:rPr>
            </w:pPr>
          </w:p>
        </w:tc>
      </w:tr>
    </w:tbl>
    <w:p>
      <w:pPr>
        <w:pStyle w:val="4"/>
        <w:tabs>
          <w:tab w:val="left" w:pos="1440"/>
          <w:tab w:val="left" w:pos="2100"/>
        </w:tabs>
        <w:spacing w:line="470" w:lineRule="exact"/>
        <w:ind w:firstLine="0"/>
      </w:pPr>
    </w:p>
    <w:sectPr>
      <w:headerReference r:id="rId3" w:type="default"/>
      <w:footerReference r:id="rId4" w:type="default"/>
      <w:pgSz w:w="11906" w:h="16838"/>
      <w:pgMar w:top="1304" w:right="1134" w:bottom="1247" w:left="1134" w:header="851" w:footer="851" w:gutter="0"/>
      <w:pgNumType w:fmt="decimal" w:start="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SimSun">
    <w:altName w:val="宋体"/>
    <w:panose1 w:val="00000000000000000000"/>
    <w:charset w:val="00"/>
    <w:family w:val="auto"/>
    <w:pitch w:val="default"/>
    <w:sig w:usb0="00000000" w:usb1="00000000" w:usb2="00000000" w:usb3="00000000" w:csb0="00000000" w:csb1="00000000"/>
  </w:font>
  <w:font w:name="仿宋_GB2312;微软雅黑">
    <w:altName w:val="仿宋"/>
    <w:panose1 w:val="00000000000000000000"/>
    <w:charset w:val="00"/>
    <w:family w:val="auto"/>
    <w:pitch w:val="default"/>
    <w:sig w:usb0="00000000" w:usb1="00000000" w:usb2="00000000" w:usb3="00000000" w:csb0="00000000" w:csb1="00000000"/>
  </w:font>
  <w:font w:name="DejaVu Sans">
    <w:altName w:val="宋体"/>
    <w:panose1 w:val="00000000000000000000"/>
    <w:charset w:val="86"/>
    <w:family w:val="auto"/>
    <w:pitch w:val="default"/>
    <w:sig w:usb0="00000000" w:usb1="00000000" w:usb2="00000000" w:usb3="00000000" w:csb0="00000000" w:csb1="00000000"/>
  </w:font>
  <w:font w:name="黑体;SimHei">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1270</wp:posOffset>
              </wp:positionV>
              <wp:extent cx="67310" cy="147955"/>
              <wp:effectExtent l="0" t="0" r="0" b="0"/>
              <wp:wrapSquare wrapText="largest"/>
              <wp:docPr id="4" name="Frame1"/>
              <wp:cNvGraphicFramePr/>
              <a:graphic xmlns:a="http://schemas.openxmlformats.org/drawingml/2006/main">
                <a:graphicData uri="http://schemas.microsoft.com/office/word/2010/wordprocessingShape">
                  <wps:wsp>
                    <wps:cNvSpPr txBox="1"/>
                    <wps:spPr>
                      <a:xfrm>
                        <a:off x="0" y="0"/>
                        <a:ext cx="67310" cy="147955"/>
                      </a:xfrm>
                      <a:prstGeom prst="rect">
                        <a:avLst/>
                      </a:prstGeom>
                      <a:solidFill>
                        <a:srgbClr val="FFFFFF">
                          <a:alpha val="0"/>
                        </a:srgbClr>
                      </a:solidFill>
                    </wps:spPr>
                    <wps:txbx>
                      <w:txbxContent>
                        <w:p>
                          <w:pPr>
                            <w:pStyle w:val="5"/>
                            <w:rPr>
                              <w:rStyle w:val="9"/>
                              <w:sz w:val="21"/>
                              <w:szCs w:val="21"/>
                            </w:rPr>
                          </w:pPr>
                          <w:r>
                            <w:rPr>
                              <w:sz w:val="21"/>
                              <w:szCs w:val="21"/>
                            </w:rPr>
                            <w:fldChar w:fldCharType="begin"/>
                          </w:r>
                          <w:r>
                            <w:rPr>
                              <w:sz w:val="21"/>
                              <w:szCs w:val="21"/>
                            </w:rPr>
                            <w:instrText xml:space="preserve">PAGE</w:instrText>
                          </w:r>
                          <w:r>
                            <w:rPr>
                              <w:sz w:val="21"/>
                              <w:szCs w:val="21"/>
                            </w:rPr>
                            <w:fldChar w:fldCharType="separate"/>
                          </w:r>
                          <w:r>
                            <w:rPr>
                              <w:sz w:val="21"/>
                              <w:szCs w:val="21"/>
                            </w:rPr>
                            <w:t>5</w:t>
                          </w:r>
                          <w:r>
                            <w:rPr>
                              <w:sz w:val="21"/>
                              <w:szCs w:val="21"/>
                            </w:rPr>
                            <w:fldChar w:fldCharType="end"/>
                          </w:r>
                        </w:p>
                      </w:txbxContent>
                    </wps:txbx>
                    <wps:bodyPr lIns="0" tIns="0" rIns="0" bIns="0" anchor="t">
                      <a:noAutofit/>
                    </wps:bodyPr>
                  </wps:wsp>
                </a:graphicData>
              </a:graphic>
            </wp:anchor>
          </w:drawing>
        </mc:Choice>
        <mc:Fallback>
          <w:pict>
            <v:shape id="Frame1" o:spid="_x0000_s1026" o:spt="202" type="#_x0000_t202" style="position:absolute;left:0pt;margin-top:0.1pt;height:11.65pt;width:5.3pt;mso-position-horizontal:center;mso-position-horizontal-relative:margin;mso-wrap-distance-bottom:0pt;mso-wrap-distance-left:0pt;mso-wrap-distance-right:0pt;mso-wrap-distance-top:0pt;z-index:1024;mso-width-relative:page;mso-height-relative:page;" fillcolor="#FFFFFF" filled="t" stroked="f" coordsize="21600,21600" o:gfxdata="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lE3GtEAAAADAQAA&#10;DwAAAAAAAAABACAAAAAiAAAAZHJzL2Rvd25yZXYueG1sUEsBAhQAFAAAAAgAh07iQAgd3UquAQAA&#10;ZAMAAA4AAAAAAAAAAQAgAAAAIAEAAGRycy9lMm9Eb2MueG1sUEsFBgAAAAAGAAYAWQEAAEAFAAAA&#10;AA==&#10;">
              <v:fill on="t" opacity="0f" focussize="0,0"/>
              <v:stroke on="f"/>
              <v:imagedata o:title=""/>
              <o:lock v:ext="edit" aspectratio="f"/>
              <v:textbox inset="0mm,0mm,0mm,0mm">
                <w:txbxContent>
                  <w:p>
                    <w:pPr>
                      <w:pStyle w:val="5"/>
                      <w:rPr>
                        <w:rStyle w:val="9"/>
                        <w:sz w:val="21"/>
                        <w:szCs w:val="21"/>
                      </w:rPr>
                    </w:pPr>
                    <w:r>
                      <w:rPr>
                        <w:sz w:val="21"/>
                        <w:szCs w:val="21"/>
                      </w:rPr>
                      <w:fldChar w:fldCharType="begin"/>
                    </w:r>
                    <w:r>
                      <w:rPr>
                        <w:sz w:val="21"/>
                        <w:szCs w:val="21"/>
                      </w:rPr>
                      <w:instrText xml:space="preserve">PAGE</w:instrText>
                    </w:r>
                    <w:r>
                      <w:rPr>
                        <w:sz w:val="21"/>
                        <w:szCs w:val="21"/>
                      </w:rPr>
                      <w:fldChar w:fldCharType="separate"/>
                    </w:r>
                    <w:r>
                      <w:rPr>
                        <w:sz w:val="21"/>
                        <w:szCs w:val="21"/>
                      </w:rPr>
                      <w:t>5</w:t>
                    </w:r>
                    <w:r>
                      <w:rPr>
                        <w:sz w:val="21"/>
                        <w:szCs w:val="21"/>
                      </w:rP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Times New Roman"/>
      </w:rPr>
    </w:pPr>
    <w:r>
      <w:rPr>
        <w:rFonts w:eastAsia="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47B933"/>
    <w:multiLevelType w:val="singleLevel"/>
    <w:tmpl w:val="B347B933"/>
    <w:lvl w:ilvl="0" w:tentative="0">
      <w:start w:val="2"/>
      <w:numFmt w:val="chineseCounting"/>
      <w:suff w:val="nothing"/>
      <w:lvlText w:val="%1、"/>
      <w:lvlJc w:val="left"/>
      <w:rPr>
        <w:rFonts w:hint="eastAsia"/>
      </w:rPr>
    </w:lvl>
  </w:abstractNum>
  <w:abstractNum w:abstractNumId="1">
    <w:nsid w:val="5AF25882"/>
    <w:multiLevelType w:val="singleLevel"/>
    <w:tmpl w:val="5AF25882"/>
    <w:lvl w:ilvl="0" w:tentative="0">
      <w:start w:val="1"/>
      <w:numFmt w:val="chineseCountingThousand"/>
      <w:suff w:val="nothing"/>
      <w:lvlText w:val="%1、"/>
      <w:lvlJc w:val="left"/>
      <w:pPr>
        <w:ind w:left="0" w:firstLine="0"/>
      </w:pPr>
      <w:rPr>
        <w:lang w:eastAsia="zh-CN"/>
      </w:rPr>
    </w:lvl>
  </w:abstractNum>
  <w:abstractNum w:abstractNumId="2">
    <w:nsid w:val="5AF2588D"/>
    <w:multiLevelType w:val="multilevel"/>
    <w:tmpl w:val="5AF2588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AF25898"/>
    <w:multiLevelType w:val="multilevel"/>
    <w:tmpl w:val="5AF2589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AF258A3"/>
    <w:multiLevelType w:val="multilevel"/>
    <w:tmpl w:val="5AF258A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2"/>
  </w:compat>
  <w:rsids>
    <w:rsidRoot w:val="13C72C73"/>
    <w:rsid w:val="0A0D2B90"/>
    <w:rsid w:val="13C72C73"/>
    <w:rsid w:val="20F94E35"/>
    <w:rsid w:val="26496AC7"/>
    <w:rsid w:val="28C92A7E"/>
    <w:rsid w:val="30D5405B"/>
    <w:rsid w:val="42FA5689"/>
    <w:rsid w:val="50240373"/>
    <w:rsid w:val="50572478"/>
    <w:rsid w:val="50C8344F"/>
    <w:rsid w:val="57EF4958"/>
    <w:rsid w:val="5DD900A4"/>
    <w:rsid w:val="60592942"/>
    <w:rsid w:val="636001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imes New Roman" w:hAnsi="Times New Roman" w:eastAsia="宋体;SimSun"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Body Text Indent"/>
    <w:basedOn w:val="1"/>
    <w:qFormat/>
    <w:uiPriority w:val="0"/>
    <w:pPr>
      <w:widowControl/>
      <w:spacing w:line="560" w:lineRule="atLeast"/>
      <w:ind w:firstLine="555"/>
    </w:pPr>
    <w:rPr>
      <w:rFonts w:ascii="仿宋_GB2312;微软雅黑" w:hAnsi="仿宋_GB2312;微软雅黑" w:eastAsia="仿宋_GB2312;微软雅黑"/>
      <w:b/>
      <w:kern w:val="0"/>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spacing w:line="240" w:lineRule="auto"/>
      <w:jc w:val="both"/>
    </w:pPr>
    <w:rPr>
      <w:rFonts w:ascii="Times New Roman" w:hAnsi="Times New Roman" w:cs="Times New Roman"/>
      <w:sz w:val="18"/>
    </w:rPr>
  </w:style>
  <w:style w:type="paragraph" w:styleId="7">
    <w:name w:val="List"/>
    <w:basedOn w:val="3"/>
    <w:qFormat/>
    <w:uiPriority w:val="0"/>
  </w:style>
  <w:style w:type="character" w:styleId="9">
    <w:name w:val="page number"/>
    <w:basedOn w:val="10"/>
    <w:qFormat/>
    <w:uiPriority w:val="0"/>
  </w:style>
  <w:style w:type="character" w:customStyle="1" w:styleId="10">
    <w:name w:val="默认段落字体1"/>
    <w:qFormat/>
    <w:uiPriority w:val="0"/>
  </w:style>
  <w:style w:type="character" w:customStyle="1" w:styleId="12">
    <w:name w:val="WW8Num1z0"/>
    <w:qFormat/>
    <w:uiPriority w:val="0"/>
    <w:rPr>
      <w:lang w:eastAsia="zh-CN"/>
    </w:rPr>
  </w:style>
  <w:style w:type="character" w:customStyle="1" w:styleId="13">
    <w:name w:val="WW8Num2z0"/>
    <w:qFormat/>
    <w:uiPriority w:val="0"/>
  </w:style>
  <w:style w:type="character" w:customStyle="1" w:styleId="14">
    <w:name w:val="Internet Link"/>
    <w:basedOn w:val="10"/>
    <w:qFormat/>
    <w:uiPriority w:val="0"/>
    <w:rPr>
      <w:color w:val="0000FF"/>
    </w:rPr>
  </w:style>
  <w:style w:type="character" w:customStyle="1" w:styleId="15">
    <w:name w:val="Strong Emphasis"/>
    <w:basedOn w:val="10"/>
    <w:qFormat/>
    <w:uiPriority w:val="0"/>
    <w:rPr>
      <w:b/>
      <w:bCs/>
    </w:rPr>
  </w:style>
  <w:style w:type="character" w:customStyle="1" w:styleId="16">
    <w:name w:val="正文文本缩进 Char"/>
    <w:basedOn w:val="10"/>
    <w:qFormat/>
    <w:uiPriority w:val="0"/>
    <w:rPr>
      <w:rFonts w:ascii="仿宋_GB2312;微软雅黑" w:hAnsi="仿宋_GB2312;微软雅黑" w:eastAsia="仿宋_GB2312;微软雅黑"/>
      <w:b/>
      <w:sz w:val="28"/>
    </w:rPr>
  </w:style>
  <w:style w:type="character" w:customStyle="1" w:styleId="17">
    <w:name w:val="纯文本 Char"/>
    <w:basedOn w:val="10"/>
    <w:qFormat/>
    <w:uiPriority w:val="0"/>
    <w:rPr>
      <w:rFonts w:ascii="宋体;SimSun" w:hAnsi="宋体;SimSun" w:cs="Courier New"/>
      <w:kern w:val="2"/>
      <w:sz w:val="21"/>
    </w:rPr>
  </w:style>
  <w:style w:type="paragraph" w:customStyle="1" w:styleId="18">
    <w:name w:val="Heading"/>
    <w:basedOn w:val="1"/>
    <w:next w:val="3"/>
    <w:qFormat/>
    <w:uiPriority w:val="0"/>
    <w:pPr>
      <w:keepNext/>
      <w:spacing w:before="240" w:after="120"/>
    </w:pPr>
    <w:rPr>
      <w:rFonts w:ascii="Arial" w:hAnsi="Arial" w:eastAsia="DejaVu Sans" w:cs="DejaVu Sans"/>
      <w:sz w:val="28"/>
      <w:szCs w:val="28"/>
    </w:rPr>
  </w:style>
  <w:style w:type="paragraph" w:customStyle="1" w:styleId="19">
    <w:name w:val="Index"/>
    <w:basedOn w:val="1"/>
    <w:qFormat/>
    <w:uiPriority w:val="0"/>
    <w:pPr>
      <w:suppressLineNumbers/>
    </w:pPr>
  </w:style>
  <w:style w:type="paragraph" w:customStyle="1" w:styleId="20">
    <w:name w:val="纯文本1"/>
    <w:basedOn w:val="1"/>
    <w:qFormat/>
    <w:uiPriority w:val="0"/>
    <w:rPr>
      <w:rFonts w:ascii="宋体;SimSun" w:hAnsi="宋体;SimSun" w:cs="Courier New"/>
      <w:szCs w:val="20"/>
    </w:rPr>
  </w:style>
  <w:style w:type="paragraph" w:customStyle="1" w:styleId="21">
    <w:name w:val="普通(网站)1"/>
    <w:basedOn w:val="1"/>
    <w:qFormat/>
    <w:uiPriority w:val="0"/>
    <w:pPr>
      <w:widowControl/>
      <w:spacing w:before="280" w:after="280"/>
      <w:jc w:val="left"/>
    </w:pPr>
    <w:rPr>
      <w:rFonts w:ascii="宋体;SimSun" w:hAnsi="宋体;SimSun" w:cs="宋体;SimSun"/>
      <w:kern w:val="0"/>
      <w:sz w:val="24"/>
    </w:rPr>
  </w:style>
  <w:style w:type="paragraph" w:customStyle="1" w:styleId="22">
    <w:name w:val="Table Contents"/>
    <w:basedOn w:val="1"/>
    <w:qFormat/>
    <w:uiPriority w:val="0"/>
    <w:pPr>
      <w:suppressLineNumbers/>
    </w:pPr>
  </w:style>
  <w:style w:type="paragraph" w:customStyle="1" w:styleId="23">
    <w:name w:val="Table Heading"/>
    <w:basedOn w:val="22"/>
    <w:qFormat/>
    <w:uiPriority w:val="0"/>
    <w:pPr>
      <w:suppressLineNumbers/>
      <w:jc w:val="center"/>
    </w:pPr>
    <w:rPr>
      <w:b/>
      <w:bCs/>
    </w:rPr>
  </w:style>
  <w:style w:type="paragraph" w:customStyle="1" w:styleId="24">
    <w:name w:val="Frame Contents"/>
    <w:basedOn w:val="1"/>
    <w:qFormat/>
    <w:uiPriority w:val="0"/>
  </w:style>
  <w:style w:type="paragraph" w:styleId="2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ScaleCrop>false</ScaleCrop>
  <LinksUpToDate>false</LinksUpToDate>
  <Application>WPS Office_10.1.0.7400_F1E327BC-269C-435d-A152-05C5408002CA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2015-09-21T04:37:00Z</dcterms:created>
  <dc:creator>Administrator</dc:creator>
  <cp:lastModifiedBy>正</cp:lastModifiedBy>
  <dcterms:modified xsi:type="dcterms:W3CDTF">2018-07-11T02:29:36Z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