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17780</wp:posOffset>
            </wp:positionV>
            <wp:extent cx="4981575" cy="5429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</w:rPr>
      </w:pP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60325</wp:posOffset>
            </wp:positionV>
            <wp:extent cx="5048250" cy="5238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color w:val="000000"/>
          <w:sz w:val="32"/>
          <w:szCs w:val="32"/>
        </w:rPr>
      </w:pPr>
    </w:p>
    <w:p>
      <w:pPr>
        <w:ind w:right="50"/>
        <w:rPr>
          <w:rFonts w:ascii="仿宋_GB2312;仿宋" w:hAnsi="仿宋_GB2312;仿宋" w:eastAsia="仿宋_GB2312;仿宋" w:cs="仿宋_GB2312;仿宋"/>
          <w:color w:val="000000"/>
          <w:w w:val="90"/>
          <w:sz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86995</wp:posOffset>
            </wp:positionV>
            <wp:extent cx="5210175" cy="523875"/>
            <wp:effectExtent l="0" t="0" r="9525" b="952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50"/>
        <w:rPr>
          <w:rFonts w:ascii="宋体;SimSun" w:hAnsi="宋体;SimSun" w:cs="宋体;SimSun"/>
          <w:b/>
          <w:bCs/>
          <w:sz w:val="36"/>
          <w:szCs w:val="36"/>
        </w:rPr>
      </w:pPr>
      <w:r>
        <w:pict>
          <v:line id="Line 3" o:spid="_x0000_s1026" o:spt="20" style="position:absolute;left:0pt;flip:y;margin-left:0.7pt;margin-top:30.7pt;height:0.6pt;width:408.9pt;z-index:251659264;mso-width-relative:page;mso-height-relative:page;" stroked="t" coordsize="21600,21600" o:gfxdata="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DyaNa0wAAAAcBAAAPAAAAAAAAAAEAIAAAACIAAABkcnMv&#10;ZG93bnJldi54bWxQSwECFAAUAAAACACHTuJAn+Or05YBAAAfAwAADgAAAAAAAAABACAAAAAiAQAA&#10;ZHJzL2Uyb0RvYy54bWxQSwUGAAAAAAYABgBZAQAAKgUAAAAA&#10;">
            <v:path arrowok="t"/>
            <v:fill focussize="0,0"/>
            <v:stroke weight="1.50236220472441pt" color="#FF0000" joinstyle="miter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关于举办“药企如何开展临床前安全性研究</w:t>
      </w:r>
      <w:r>
        <w:rPr>
          <w:rFonts w:hint="eastAsia" w:ascii="宋体;SimSun" w:hAnsi="宋体;SimSun" w:cs="宋体;SimSun"/>
          <w:b/>
          <w:bCs/>
          <w:sz w:val="36"/>
          <w:szCs w:val="36"/>
        </w:rPr>
        <w:t>专题</w:t>
      </w:r>
      <w:r>
        <w:rPr>
          <w:rFonts w:ascii="宋体;SimSun" w:hAnsi="宋体;SimSun" w:cs="宋体;SimSun"/>
          <w:b/>
          <w:bCs/>
          <w:sz w:val="36"/>
          <w:szCs w:val="36"/>
        </w:rPr>
        <w:t>培训</w:t>
      </w:r>
      <w:r>
        <w:rPr>
          <w:rFonts w:hint="eastAsia" w:ascii="宋体;SimSun" w:hAnsi="宋体;SimSun" w:cs="宋体;SimSun"/>
          <w:b/>
          <w:bCs/>
          <w:sz w:val="36"/>
          <w:szCs w:val="36"/>
        </w:rPr>
        <w:t>班</w:t>
      </w:r>
      <w:r>
        <w:rPr>
          <w:rFonts w:ascii="宋体;SimSun" w:hAnsi="宋体;SimSun" w:cs="宋体;SimSun"/>
          <w:b/>
          <w:bCs/>
          <w:sz w:val="36"/>
          <w:szCs w:val="36"/>
        </w:rPr>
        <w:t>（ICH S指导）”的通知</w:t>
      </w:r>
    </w:p>
    <w:p>
      <w:pPr>
        <w:spacing w:line="400" w:lineRule="exact"/>
        <w:rPr>
          <w:rFonts w:cs="仿宋"/>
        </w:rPr>
      </w:pPr>
      <w:r>
        <w:rPr>
          <w:rFonts w:cs="仿宋"/>
          <w:color w:val="000000" w:themeColor="text1"/>
          <w:sz w:val="28"/>
          <w:szCs w:val="28"/>
        </w:rPr>
        <w:t>各有关单位：</w:t>
      </w:r>
    </w:p>
    <w:p>
      <w:pPr>
        <w:spacing w:line="400" w:lineRule="exact"/>
        <w:ind w:firstLine="560"/>
        <w:rPr>
          <w:rFonts w:cs="仿宋"/>
          <w:color w:val="000000" w:themeColor="text1"/>
          <w:sz w:val="28"/>
          <w:szCs w:val="28"/>
        </w:rPr>
      </w:pPr>
      <w:r>
        <w:rPr>
          <w:rFonts w:cs="仿宋"/>
          <w:color w:val="000000" w:themeColor="text1"/>
          <w:sz w:val="28"/>
          <w:szCs w:val="28"/>
        </w:rPr>
        <w:t>自从中国加入ICH组织以来，一直在对ICH相关指导原则进行翻译转化成国内法规，用于申报认证时的检查指导。如果药企不熟悉或运用不好，有可能带来认证时的困难。</w:t>
      </w:r>
    </w:p>
    <w:p>
      <w:pPr>
        <w:spacing w:line="400" w:lineRule="exact"/>
        <w:ind w:firstLine="560"/>
        <w:rPr>
          <w:rFonts w:cs="仿宋"/>
          <w:color w:val="000000" w:themeColor="text1"/>
          <w:sz w:val="28"/>
          <w:szCs w:val="28"/>
        </w:rPr>
      </w:pPr>
      <w:r>
        <w:rPr>
          <w:rFonts w:cs="仿宋"/>
          <w:color w:val="000000" w:themeColor="text1"/>
          <w:sz w:val="28"/>
          <w:szCs w:val="28"/>
        </w:rPr>
        <w:t>ICH　S系列是关于临床前安全性研究的系列指导。目前国内的现状是，安全性研究大多外包给第三方进行，自己建立团队开展工作的少。同时，外包给第三方，由于企业内部缺乏有相关资质人员的审核，研究质量无法得到保证，也有可能给申报带来隐患。</w:t>
      </w:r>
    </w:p>
    <w:p>
      <w:pPr>
        <w:spacing w:line="420" w:lineRule="exact"/>
        <w:ind w:firstLine="560"/>
        <w:rPr>
          <w:rFonts w:ascii="宋体;SimSun" w:hAnsi="宋体;SimSun" w:cs="宋体;SimSun"/>
          <w:b/>
          <w:bCs/>
          <w:kern w:val="0"/>
          <w:sz w:val="32"/>
          <w:szCs w:val="32"/>
        </w:rPr>
      </w:pPr>
      <w:r>
        <w:rPr>
          <w:rFonts w:cs="仿宋"/>
          <w:color w:val="000000" w:themeColor="text1"/>
          <w:sz w:val="28"/>
          <w:szCs w:val="28"/>
        </w:rPr>
        <w:t>为了彻底解决药企在这方面的困惑，帮助企业高层、相关研究人员提高专业能力，排除实际工作中种种困惑与难题，降低企业的运行和合规风险，本单位定于201</w:t>
      </w:r>
      <w:r>
        <w:rPr>
          <w:rFonts w:hint="eastAsia" w:cs="仿宋"/>
          <w:color w:val="000000" w:themeColor="text1"/>
          <w:sz w:val="28"/>
          <w:szCs w:val="28"/>
        </w:rPr>
        <w:t>9</w:t>
      </w:r>
      <w:r>
        <w:rPr>
          <w:rFonts w:cs="仿宋"/>
          <w:color w:val="000000" w:themeColor="text1"/>
          <w:sz w:val="28"/>
          <w:szCs w:val="28"/>
        </w:rPr>
        <w:t>年</w:t>
      </w:r>
      <w:r>
        <w:rPr>
          <w:rFonts w:hint="eastAsia" w:cs="仿宋"/>
          <w:color w:val="000000" w:themeColor="text1"/>
          <w:sz w:val="28"/>
          <w:szCs w:val="28"/>
        </w:rPr>
        <w:t>4</w:t>
      </w:r>
      <w:r>
        <w:rPr>
          <w:rFonts w:cs="仿宋"/>
          <w:color w:val="000000" w:themeColor="text1"/>
          <w:sz w:val="28"/>
          <w:szCs w:val="28"/>
        </w:rPr>
        <w:t>月</w:t>
      </w:r>
      <w:r>
        <w:rPr>
          <w:rFonts w:hint="eastAsia" w:cs="仿宋"/>
          <w:color w:val="000000" w:themeColor="text1"/>
          <w:sz w:val="28"/>
          <w:szCs w:val="28"/>
        </w:rPr>
        <w:t>17日-19日</w:t>
      </w:r>
      <w:r>
        <w:rPr>
          <w:rFonts w:cs="仿宋"/>
          <w:color w:val="000000" w:themeColor="text1"/>
          <w:sz w:val="28"/>
          <w:szCs w:val="28"/>
        </w:rPr>
        <w:t>在</w:t>
      </w:r>
      <w:r>
        <w:rPr>
          <w:rFonts w:hint="eastAsia" w:cs="仿宋"/>
          <w:color w:val="000000" w:themeColor="text1"/>
          <w:sz w:val="28"/>
          <w:szCs w:val="28"/>
        </w:rPr>
        <w:t>南京</w:t>
      </w:r>
      <w:r>
        <w:rPr>
          <w:rFonts w:cs="仿宋"/>
          <w:color w:val="000000" w:themeColor="text1"/>
          <w:sz w:val="28"/>
          <w:szCs w:val="28"/>
        </w:rPr>
        <w:t>市举办“药企如何开展临床前安全性研究</w:t>
      </w:r>
      <w:r>
        <w:rPr>
          <w:rFonts w:hint="eastAsia" w:cs="仿宋"/>
          <w:color w:val="000000" w:themeColor="text1"/>
          <w:sz w:val="28"/>
          <w:szCs w:val="28"/>
        </w:rPr>
        <w:t>专题</w:t>
      </w:r>
      <w:r>
        <w:rPr>
          <w:rFonts w:cs="仿宋"/>
          <w:color w:val="000000" w:themeColor="text1"/>
          <w:sz w:val="28"/>
          <w:szCs w:val="28"/>
        </w:rPr>
        <w:t>培训</w:t>
      </w:r>
      <w:r>
        <w:rPr>
          <w:rFonts w:hint="eastAsia" w:cs="仿宋"/>
          <w:color w:val="000000" w:themeColor="text1"/>
          <w:sz w:val="28"/>
          <w:szCs w:val="28"/>
        </w:rPr>
        <w:t>班</w:t>
      </w:r>
      <w:r>
        <w:rPr>
          <w:rFonts w:cs="仿宋"/>
          <w:color w:val="000000" w:themeColor="text1"/>
          <w:sz w:val="28"/>
          <w:szCs w:val="28"/>
        </w:rPr>
        <w:t>（ICH S指导）”，邀请业内权威专家针对相关问题进行深入解析。培训通知如下：</w:t>
      </w:r>
    </w:p>
    <w:p>
      <w:pPr>
        <w:spacing w:line="420" w:lineRule="exac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4"/>
        <w:spacing w:line="440" w:lineRule="exact"/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</w:pPr>
      <w:r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  <w:t>会议地点：</w:t>
      </w: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南京</w:t>
      </w:r>
      <w:r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  <w:t>（具体地点通知给已报名人员）</w:t>
      </w:r>
    </w:p>
    <w:p>
      <w:pPr>
        <w:pStyle w:val="4"/>
        <w:spacing w:line="440" w:lineRule="exact"/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</w:pPr>
      <w:r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  <w:t>会议时间：201</w:t>
      </w: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9</w:t>
      </w:r>
      <w:r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  <w:t>年</w:t>
      </w: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4</w:t>
      </w:r>
      <w:r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  <w:t>月</w:t>
      </w: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17日-19日（17日全天报到）</w:t>
      </w:r>
    </w:p>
    <w:p>
      <w:pPr>
        <w:pStyle w:val="4"/>
        <w:spacing w:line="440" w:lineRule="exact"/>
        <w:rPr>
          <w:rFonts w:ascii="Times New Roman" w:hAnsi="Times New Roman" w:eastAsia="宋体;SimSun" w:cs="仿宋"/>
          <w:b w:val="0"/>
          <w:color w:val="000000" w:themeColor="text1"/>
          <w:kern w:val="2"/>
          <w:szCs w:val="28"/>
        </w:rPr>
      </w:pPr>
      <w:r>
        <w:rPr>
          <w:rFonts w:hint="eastAsia" w:ascii="Times New Roman" w:hAnsi="Times New Roman" w:eastAsia="宋体;SimSun" w:cs="仿宋"/>
          <w:b w:val="0"/>
          <w:color w:val="000000" w:themeColor="text1"/>
          <w:kern w:val="2"/>
          <w:szCs w:val="28"/>
        </w:rPr>
        <w:t>支持单位：青岛科创相容性研究中心</w:t>
      </w:r>
    </w:p>
    <w:p>
      <w:pPr>
        <w:pStyle w:val="4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会议主要研讨内容及主讲老师</w:t>
      </w:r>
    </w:p>
    <w:p>
      <w:pPr>
        <w:pStyle w:val="4"/>
        <w:spacing w:line="440" w:lineRule="exact"/>
        <w:ind w:left="560" w:firstLine="0"/>
        <w:rPr>
          <w:rFonts w:cs="宋体;SimSun"/>
          <w:b w:val="0"/>
          <w:bCs/>
          <w:szCs w:val="28"/>
        </w:rPr>
      </w:pPr>
      <w:r>
        <w:rPr>
          <w:rFonts w:cs="宋体;SimSun"/>
          <w:b w:val="0"/>
          <w:bCs/>
          <w:szCs w:val="28"/>
        </w:rPr>
        <w:t>内容详见附件一（课程安排表）</w:t>
      </w:r>
    </w:p>
    <w:p>
      <w:pPr>
        <w:pStyle w:val="4"/>
        <w:numPr>
          <w:ilvl w:val="0"/>
          <w:numId w:val="1"/>
        </w:numPr>
        <w:spacing w:line="440" w:lineRule="exact"/>
        <w:rPr>
          <w:rFonts w:ascii="黑体;SimHei" w:hAnsi="黑体;SimHei" w:eastAsia="黑体;SimHei" w:cs="宋体;SimSun"/>
          <w:spacing w:val="-4"/>
          <w:szCs w:val="28"/>
        </w:rPr>
      </w:pPr>
      <w:r>
        <w:rPr>
          <w:rFonts w:ascii="黑体;SimHei" w:hAnsi="黑体;SimHei" w:eastAsia="黑体;SimHei" w:cs="宋体;SimSun"/>
          <w:spacing w:val="-4"/>
          <w:szCs w:val="28"/>
        </w:rPr>
        <w:t>参会对象</w:t>
      </w:r>
    </w:p>
    <w:p>
      <w:pPr>
        <w:pStyle w:val="4"/>
        <w:spacing w:line="440" w:lineRule="exact"/>
        <w:ind w:firstLine="0"/>
        <w:rPr>
          <w:rFonts w:ascii="黑体;SimHei" w:hAnsi="黑体;SimHei" w:eastAsia="黑体;SimHei"/>
        </w:rPr>
      </w:pPr>
      <w:r>
        <w:rPr>
          <w:rFonts w:ascii="黑体;SimHei" w:hAnsi="黑体;SimHei" w:eastAsia="黑体;SimHei" w:cs="宋体;SimSun"/>
          <w:spacing w:val="-4"/>
        </w:rPr>
        <w:t>制药公司注册、非临床研究、质量、研发等相关部门人员，</w:t>
      </w:r>
      <w:r>
        <w:rPr>
          <w:rFonts w:hint="eastAsia" w:ascii="黑体;SimHei" w:hAnsi="黑体;SimHei" w:eastAsia="黑体;SimHei" w:cs="宋体;SimSun"/>
          <w:spacing w:val="-4"/>
        </w:rPr>
        <w:t>相关实验机构从事临床前安全性研究人员。</w:t>
      </w:r>
    </w:p>
    <w:p>
      <w:pPr>
        <w:widowControl/>
        <w:spacing w:line="420" w:lineRule="exact"/>
        <w:jc w:val="left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4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1、理论讲解,实例分析,专题讲授,互动答疑</w:t>
      </w:r>
    </w:p>
    <w:p>
      <w:pPr>
        <w:pStyle w:val="4"/>
        <w:tabs>
          <w:tab w:val="left" w:pos="1440"/>
        </w:tabs>
        <w:spacing w:line="420" w:lineRule="exact"/>
        <w:jc w:val="lef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2、主讲嘉宾均为行业内资深专家，欢迎来电咨询</w:t>
      </w:r>
    </w:p>
    <w:p>
      <w:pPr>
        <w:pStyle w:val="4"/>
        <w:tabs>
          <w:tab w:val="left" w:pos="1440"/>
        </w:tabs>
        <w:spacing w:line="470" w:lineRule="exact"/>
        <w:rPr>
          <w:rFonts w:cs="宋体;SimSun"/>
          <w:b w:val="0"/>
          <w:szCs w:val="28"/>
        </w:rPr>
      </w:pPr>
      <w:r>
        <w:rPr>
          <w:rFonts w:cs="宋体;SimSun"/>
          <w:b w:val="0"/>
          <w:szCs w:val="28"/>
        </w:rPr>
        <w:t>3、</w:t>
      </w:r>
      <w:r>
        <w:rPr>
          <w:b w:val="0"/>
          <w:w w:val="90"/>
          <w:szCs w:val="28"/>
        </w:rPr>
        <w:t>完成全部培训课程者</w:t>
      </w:r>
      <w:r>
        <w:rPr>
          <w:rFonts w:cs="宋体;SimSun"/>
          <w:b w:val="0"/>
          <w:szCs w:val="28"/>
        </w:rPr>
        <w:t>由协会颁发培训证书</w:t>
      </w:r>
    </w:p>
    <w:p>
      <w:pPr>
        <w:tabs>
          <w:tab w:val="center" w:pos="4156"/>
        </w:tabs>
        <w:spacing w:line="420" w:lineRule="exact"/>
        <w:rPr>
          <w:rFonts w:ascii="仿宋_GB2312;仿宋" w:hAnsi="仿宋_GB2312;仿宋" w:eastAsia="仿宋_GB2312;仿宋"/>
          <w:w w:val="90"/>
          <w:kern w:val="0"/>
          <w:sz w:val="28"/>
          <w:szCs w:val="28"/>
        </w:rPr>
      </w:pPr>
      <w:r>
        <w:rPr>
          <w:rFonts w:hint="eastAsia"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会议费用</w:t>
      </w:r>
      <w:r>
        <w:rPr>
          <w:rFonts w:hint="eastAsia" w:ascii="仿宋_GB2312;仿宋" w:hAnsi="仿宋_GB2312;仿宋" w:eastAsia="仿宋_GB2312;仿宋"/>
          <w:w w:val="90"/>
          <w:kern w:val="0"/>
          <w:sz w:val="28"/>
          <w:szCs w:val="28"/>
        </w:rPr>
        <w:t>会务费：2500元/人（费用含会务费、资料费等）。食宿统一安排，费用自理。</w:t>
      </w:r>
    </w:p>
    <w:p>
      <w:pPr>
        <w:pStyle w:val="4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Cs/>
          <w:szCs w:val="28"/>
        </w:rPr>
      </w:pPr>
      <w:r>
        <w:rPr>
          <w:rFonts w:hint="eastAsia" w:ascii="宋体;SimSun" w:hAnsi="宋体;SimSun" w:eastAsia="宋体;SimSun" w:cs="宋体;SimSun"/>
          <w:bCs/>
          <w:szCs w:val="28"/>
        </w:rPr>
        <w:t>六、讲课老师</w:t>
      </w:r>
    </w:p>
    <w:p>
      <w:pPr>
        <w:pStyle w:val="4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  <w:r>
        <w:rPr>
          <w:rFonts w:hint="eastAsia" w:ascii="宋体;SimSun" w:hAnsi="宋体;SimSun" w:eastAsia="宋体;SimSun" w:cs="宋体;SimSun"/>
          <w:b w:val="0"/>
          <w:szCs w:val="28"/>
        </w:rPr>
        <w:t>1、邱博士 国家上海新药安全评价研究中心 从事药物临床前安全性评价研究工作近二十年，涉及新药包括中药、化药和生物药，先后共完成400余项药物临床前安全性评价试验。协会特聘专家。</w:t>
      </w:r>
    </w:p>
    <w:p>
      <w:pPr>
        <w:pStyle w:val="4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  <w:r>
        <w:rPr>
          <w:rFonts w:hint="eastAsia" w:ascii="宋体;SimSun" w:hAnsi="宋体;SimSun" w:eastAsia="宋体;SimSun" w:cs="宋体;SimSun"/>
          <w:b w:val="0"/>
          <w:szCs w:val="28"/>
        </w:rPr>
        <w:t>2、钟教授 曾主持国家自然科学基金重点项目和国家“863”项目等课题，为国内制药企业完成新药代谢和药动学临床前研究 20 余项，为国内外制药企业完成药物动力学和制剂生物等效性试验300余项。</w:t>
      </w:r>
    </w:p>
    <w:p>
      <w:pPr>
        <w:pStyle w:val="4"/>
        <w:tabs>
          <w:tab w:val="left" w:pos="1440"/>
        </w:tabs>
        <w:spacing w:line="470" w:lineRule="exact"/>
        <w:ind w:firstLine="0"/>
        <w:rPr>
          <w:rFonts w:ascii="宋体;SimSun" w:hAnsi="宋体;SimSun" w:eastAsia="宋体;SimSun" w:cs="宋体;SimSun"/>
          <w:b w:val="0"/>
          <w:szCs w:val="28"/>
        </w:rPr>
      </w:pPr>
      <w:r>
        <w:rPr>
          <w:rFonts w:hint="eastAsia" w:ascii="宋体;SimSun" w:hAnsi="宋体;SimSun" w:eastAsia="宋体;SimSun" w:cs="宋体;SimSun"/>
          <w:b w:val="0"/>
          <w:szCs w:val="28"/>
        </w:rPr>
        <w:t>3、董博士 高级总监 博导 国务院特殊津贴 美国神经科学会会员，任上海市药学会理事，上海市药理专业委员会副主任委员，负责承担了两项国家重大项目、四项上海市科技创新项目，承担了数十项新药临床前评价任务。</w:t>
      </w:r>
    </w:p>
    <w:p>
      <w:pPr>
        <w:pStyle w:val="4"/>
        <w:tabs>
          <w:tab w:val="left" w:pos="1440"/>
        </w:tabs>
        <w:spacing w:line="420" w:lineRule="exact"/>
        <w:ind w:firstLine="0"/>
        <w:jc w:val="left"/>
        <w:rPr>
          <w:rFonts w:hint="eastAsia" w:cs="宋体;SimSun"/>
          <w:bCs/>
          <w:szCs w:val="28"/>
          <w:lang w:val="en-US" w:eastAsia="zh-CN"/>
        </w:rPr>
      </w:pPr>
      <w:r>
        <w:rPr>
          <w:rFonts w:hint="eastAsia" w:cs="宋体;SimSun"/>
          <w:bCs/>
          <w:szCs w:val="28"/>
          <w:lang w:eastAsia="zh-CN"/>
        </w:rPr>
        <w:t>七</w:t>
      </w:r>
      <w:r>
        <w:rPr>
          <w:rFonts w:hint="eastAsia" w:cs="宋体;SimSun"/>
          <w:bCs/>
          <w:szCs w:val="28"/>
          <w:lang w:val="en-US" w:eastAsia="zh-CN"/>
        </w:rPr>
        <w:t>、联系方式</w:t>
      </w:r>
    </w:p>
    <w:p>
      <w:pPr>
        <w:pStyle w:val="4"/>
        <w:tabs>
          <w:tab w:val="left" w:pos="1440"/>
        </w:tabs>
        <w:snapToGrid w:val="0"/>
        <w:spacing w:line="470" w:lineRule="exact"/>
        <w:ind w:firstLine="0"/>
        <w:rPr>
          <w:rFonts w:hint="eastAsia" w:cs="宋体;SimSun"/>
          <w:b w:val="0"/>
          <w:bCs/>
          <w:szCs w:val="28"/>
          <w:lang w:val="en-US" w:eastAsia="zh-CN"/>
        </w:rPr>
      </w:pPr>
      <w:r>
        <w:rPr>
          <w:rFonts w:hint="eastAsia" w:cs="宋体;SimSun"/>
          <w:b w:val="0"/>
          <w:bCs/>
          <w:szCs w:val="28"/>
          <w:lang w:eastAsia="zh-CN"/>
        </w:rPr>
        <w:t>联系人：马超</w:t>
      </w:r>
      <w:r>
        <w:rPr>
          <w:rFonts w:hint="eastAsia" w:cs="宋体;SimSun"/>
          <w:b w:val="0"/>
          <w:bCs/>
          <w:szCs w:val="28"/>
          <w:lang w:val="en-US" w:eastAsia="zh-CN"/>
        </w:rPr>
        <w:t xml:space="preserve">         电话：010-88287870</w:t>
      </w:r>
    </w:p>
    <w:p>
      <w:pPr>
        <w:pStyle w:val="4"/>
        <w:tabs>
          <w:tab w:val="left" w:pos="1440"/>
        </w:tabs>
        <w:spacing w:line="420" w:lineRule="exact"/>
        <w:ind w:firstLine="0"/>
        <w:jc w:val="left"/>
        <w:rPr>
          <w:rFonts w:hint="eastAsia" w:cs="宋体;SimSun"/>
          <w:bCs/>
          <w:szCs w:val="28"/>
          <w:lang w:val="en-US" w:eastAsia="zh-CN"/>
        </w:rPr>
      </w:pPr>
      <w:r>
        <w:rPr>
          <w:rFonts w:hint="eastAsia" w:cs="宋体;SimSun"/>
          <w:b w:val="0"/>
          <w:bCs/>
          <w:szCs w:val="28"/>
          <w:lang w:val="en-US" w:eastAsia="zh-CN"/>
        </w:rPr>
        <w:t>手  机：13240487419  邮箱：1683101345@q.com</w:t>
      </w:r>
      <w:bookmarkStart w:id="0" w:name="_GoBack"/>
      <w:bookmarkEnd w:id="0"/>
    </w:p>
    <w:p>
      <w:pPr>
        <w:pStyle w:val="4"/>
        <w:tabs>
          <w:tab w:val="left" w:pos="1440"/>
        </w:tabs>
        <w:spacing w:line="420" w:lineRule="exact"/>
        <w:ind w:firstLine="0"/>
        <w:jc w:val="left"/>
        <w:rPr>
          <w:rFonts w:cs="宋体;SimSun"/>
          <w:b w:val="0"/>
          <w:szCs w:val="28"/>
        </w:rPr>
      </w:pPr>
      <w:r>
        <w:rPr>
          <w:rFonts w:cs="宋体;SimSun"/>
          <w:szCs w:val="28"/>
        </w:rPr>
        <w:t>附件一：</w:t>
      </w:r>
      <w:r>
        <w:rPr>
          <w:rFonts w:cs="宋体;SimSun"/>
          <w:b w:val="0"/>
          <w:szCs w:val="28"/>
        </w:rPr>
        <w:t>会议日程安排</w:t>
      </w:r>
    </w:p>
    <w:p>
      <w:pPr>
        <w:pStyle w:val="4"/>
        <w:tabs>
          <w:tab w:val="left" w:pos="1440"/>
        </w:tabs>
        <w:spacing w:line="420" w:lineRule="exact"/>
        <w:ind w:firstLine="0"/>
        <w:jc w:val="left"/>
      </w:pPr>
      <w:r>
        <w:rPr>
          <w:rFonts w:cs="宋体;SimSun"/>
          <w:szCs w:val="28"/>
        </w:rPr>
        <w:t>附件二：</w:t>
      </w:r>
      <w:r>
        <w:rPr>
          <w:rFonts w:cs="宋体;SimSun"/>
          <w:b w:val="0"/>
          <w:szCs w:val="28"/>
        </w:rPr>
        <w:t>参会报名表</w:t>
      </w:r>
    </w:p>
    <w:p>
      <w:pPr>
        <w:pStyle w:val="4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3854" w:firstLineChars="1371"/>
      </w:pPr>
      <w:r>
        <w:rPr>
          <w:rFonts w:hint="eastAsia"/>
        </w:rPr>
        <w:t>北京华夏凯晟医药技术中心</w:t>
      </w:r>
    </w:p>
    <w:p>
      <w:pPr>
        <w:pStyle w:val="4"/>
        <w:tabs>
          <w:tab w:val="left" w:pos="1440"/>
          <w:tab w:val="left" w:pos="2100"/>
        </w:tabs>
        <w:spacing w:line="470" w:lineRule="exact"/>
      </w:pPr>
      <w:r>
        <w:rPr>
          <w:rFonts w:hint="eastAsia"/>
        </w:rPr>
        <w:t xml:space="preserve">                            </w:t>
      </w:r>
      <w:r>
        <w:t>二零一</w:t>
      </w:r>
      <w:r>
        <w:rPr>
          <w:rFonts w:hint="eastAsia"/>
        </w:rPr>
        <w:t>九</w:t>
      </w:r>
      <w:r>
        <w:t>年</w:t>
      </w:r>
      <w:r>
        <w:rPr>
          <w:rFonts w:hint="eastAsia"/>
        </w:rPr>
        <w:t>二</w:t>
      </w:r>
      <w:r>
        <w:t>月</w:t>
      </w:r>
    </w:p>
    <w:p>
      <w:pPr>
        <w:widowControl/>
        <w:jc w:val="left"/>
        <w:rPr>
          <w:rFonts w:ascii="黑体;SimHei" w:hAnsi="黑体;SimHei" w:eastAsia="黑体;SimHei"/>
          <w:b/>
          <w:color w:val="FF0000"/>
          <w:sz w:val="28"/>
        </w:rPr>
      </w:pPr>
      <w:r>
        <w:rPr>
          <w:rFonts w:ascii="黑体;SimHei" w:hAnsi="黑体;SimHei" w:eastAsia="黑体;SimHei"/>
          <w:b/>
          <w:color w:val="FF0000"/>
          <w:sz w:val="28"/>
        </w:rPr>
        <w:br w:type="page"/>
      </w:r>
    </w:p>
    <w:p>
      <w:pPr>
        <w:spacing w:line="500" w:lineRule="exact"/>
        <w:rPr>
          <w:rFonts w:ascii="仿宋_GB2312;仿宋" w:hAnsi="仿宋_GB2312;仿宋" w:eastAsia="仿宋_GB2312;仿宋"/>
          <w:b/>
          <w:sz w:val="32"/>
          <w:szCs w:val="32"/>
        </w:rPr>
      </w:pPr>
      <w:r>
        <w:rPr>
          <w:rFonts w:ascii="仿宋_GB2312;仿宋" w:hAnsi="仿宋_GB2312;仿宋" w:eastAsia="仿宋_GB2312;仿宋"/>
          <w:b/>
          <w:sz w:val="32"/>
          <w:szCs w:val="32"/>
        </w:rPr>
        <w:t xml:space="preserve">附件一：           </w:t>
      </w:r>
      <w:r>
        <w:rPr>
          <w:rFonts w:ascii="仿宋_GB2312;仿宋" w:hAnsi="仿宋_GB2312;仿宋" w:eastAsia="仿宋_GB2312;仿宋"/>
          <w:b/>
          <w:bCs/>
          <w:sz w:val="32"/>
          <w:szCs w:val="32"/>
        </w:rPr>
        <w:t>日 程 安 排 表</w:t>
      </w:r>
    </w:p>
    <w:tbl>
      <w:tblPr>
        <w:tblStyle w:val="8"/>
        <w:tblW w:w="98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kern w:val="0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0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一、临床前安全性研究 国内外法规总论</w:t>
            </w:r>
          </w:p>
          <w:p>
            <w:pPr>
              <w:pStyle w:val="111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ICH的S部分——临床前安全性研究指导原则</w:t>
            </w:r>
          </w:p>
          <w:p>
            <w:pPr>
              <w:pStyle w:val="111"/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S指导原则清单</w:t>
            </w:r>
          </w:p>
          <w:p>
            <w:pPr>
              <w:pStyle w:val="111"/>
              <w:numPr>
                <w:ilvl w:val="1"/>
                <w:numId w:val="2"/>
              </w:numPr>
              <w:spacing w:line="259" w:lineRule="auto"/>
              <w:jc w:val="left"/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国内外非临床实验研究质量管理规范</w:t>
            </w:r>
          </w:p>
          <w:p>
            <w:pPr>
              <w:pStyle w:val="111"/>
              <w:numPr>
                <w:ilvl w:val="1"/>
                <w:numId w:val="2"/>
              </w:numPr>
              <w:spacing w:line="259" w:lineRule="auto"/>
              <w:jc w:val="left"/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中国目前指导原则同ICH对应关系</w:t>
            </w:r>
          </w:p>
          <w:p>
            <w:pPr>
              <w:pStyle w:val="111"/>
              <w:numPr>
                <w:ilvl w:val="1"/>
                <w:numId w:val="2"/>
              </w:numPr>
              <w:spacing w:line="259" w:lineRule="auto"/>
              <w:jc w:val="left"/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不同国家申报临床前数据的差别比较</w:t>
            </w:r>
          </w:p>
          <w:p>
            <w:pPr>
              <w:pStyle w:val="111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非临床研究的意义：预测、伦理</w:t>
            </w:r>
          </w:p>
          <w:p>
            <w:pPr>
              <w:pStyle w:val="111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企业在开展非临床研究工作中的常见问题</w:t>
            </w:r>
          </w:p>
          <w:p>
            <w:pPr>
              <w:rPr>
                <w:rFonts w:ascii="Calibri" w:hAnsi="Calibri" w:eastAsia="Calibri" w:cs="Calibri"/>
                <w:b/>
                <w:bCs/>
                <w:sz w:val="24"/>
              </w:rPr>
            </w:pPr>
            <w:r>
              <w:rPr>
                <w:rFonts w:hint="eastAsia" w:ascii="Calibri" w:hAnsi="Calibri" w:eastAsia="Calibri" w:cs="Calibri"/>
                <w:b/>
                <w:bCs/>
                <w:sz w:val="24"/>
              </w:rPr>
              <w:t>二</w:t>
            </w:r>
            <w:r>
              <w:rPr>
                <w:rFonts w:ascii="Calibri" w:hAnsi="Calibri" w:eastAsia="Calibri" w:cs="Calibri"/>
                <w:b/>
                <w:bCs/>
                <w:sz w:val="24"/>
              </w:rPr>
              <w:t>、毒理学详解</w:t>
            </w:r>
          </w:p>
          <w:p>
            <w:pPr>
              <w:pStyle w:val="111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毒理学基本定义解释（一般毒性和特殊毒性）</w:t>
            </w:r>
          </w:p>
          <w:p>
            <w:pPr>
              <w:pStyle w:val="111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ICH S相关指导原则应用</w:t>
            </w:r>
          </w:p>
          <w:p>
            <w:pPr>
              <w:pStyle w:val="111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S2遗传毒理学研究</w:t>
            </w:r>
          </w:p>
          <w:p>
            <w:pPr>
              <w:pStyle w:val="111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S7A安全药理学研究</w:t>
            </w:r>
          </w:p>
          <w:p>
            <w:pPr>
              <w:pStyle w:val="111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S5生殖毒性试验</w:t>
            </w:r>
          </w:p>
          <w:p>
            <w:pPr>
              <w:pStyle w:val="111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 xml:space="preserve"> 毒理学对临床试验的支持</w:t>
            </w:r>
          </w:p>
          <w:p>
            <w:pPr>
              <w:pStyle w:val="111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毒理学开展过程中的常见问题讨论</w:t>
            </w:r>
          </w:p>
          <w:p>
            <w:pPr>
              <w:pStyle w:val="111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受试动物的选择考虑（人体相近性）</w:t>
            </w:r>
          </w:p>
          <w:p>
            <w:pPr>
              <w:pStyle w:val="111"/>
              <w:numPr>
                <w:ilvl w:val="1"/>
                <w:numId w:val="3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毒理试验的给药频率和给药方式</w:t>
            </w:r>
          </w:p>
          <w:p>
            <w:pPr>
              <w:rPr>
                <w:rFonts w:ascii="宋体;SimSun;宋体" w:hAnsi="宋体;SimSun;宋体" w:cs="宋体;SimSun;宋体"/>
                <w:bCs/>
                <w:kern w:val="0"/>
                <w:sz w:val="24"/>
              </w:rPr>
            </w:pPr>
          </w:p>
          <w:p>
            <w:pPr>
              <w:pStyle w:val="111"/>
              <w:ind w:left="1080" w:firstLine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6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: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3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ascii="宋体;SimSun;宋体" w:hAnsi="宋体;SimSun;宋体" w:cs="宋体;SimSun;宋体"/>
                <w:sz w:val="24"/>
              </w:rPr>
            </w:pPr>
            <w:r>
              <w:rPr>
                <w:rFonts w:hint="eastAsia" w:ascii="Calibri" w:hAnsi="Calibri" w:eastAsia="Calibri" w:cs="Calibri"/>
                <w:b/>
                <w:bCs/>
                <w:sz w:val="24"/>
              </w:rPr>
              <w:t>三</w:t>
            </w:r>
            <w:r>
              <w:rPr>
                <w:rFonts w:ascii="Calibri" w:hAnsi="Calibri" w:eastAsia="Calibri" w:cs="Calibri"/>
                <w:b/>
                <w:bCs/>
                <w:sz w:val="24"/>
              </w:rPr>
              <w:t>、药代动力学详解</w:t>
            </w:r>
          </w:p>
          <w:p>
            <w:pPr>
              <w:pStyle w:val="111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药代学基本概念解释</w:t>
            </w:r>
          </w:p>
          <w:p>
            <w:pPr>
              <w:pStyle w:val="111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ICH S相关指导原则应用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S3B《对重复给药的组织分布研究指导原则》</w:t>
            </w:r>
          </w:p>
          <w:p>
            <w:pPr>
              <w:pStyle w:val="111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药代学的临床意义，同药效及毒理的联系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提供哪些后期基础数据</w:t>
            </w:r>
          </w:p>
          <w:p>
            <w:pPr>
              <w:pStyle w:val="111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 xml:space="preserve"> 药代学开展过程中的常见问题讨论：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CRO单位考查要点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药代过程中使用药物的一致性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动物种属和模型的选择</w:t>
            </w:r>
          </w:p>
          <w:p>
            <w:pPr>
              <w:pStyle w:val="111"/>
              <w:numPr>
                <w:ilvl w:val="1"/>
                <w:numId w:val="4"/>
              </w:numPr>
              <w:rPr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给药途径和方式同临床研究的一致性</w:t>
            </w:r>
          </w:p>
          <w:p>
            <w:pPr>
              <w:rPr>
                <w:rFonts w:ascii="宋体;SimSun;宋体" w:hAnsi="宋体;SimSun;宋体" w:cs="宋体;SimSun;宋体"/>
                <w:b/>
                <w:bCs/>
                <w:sz w:val="24"/>
              </w:rPr>
            </w:pPr>
            <w:r>
              <w:rPr>
                <w:rFonts w:hint="eastAsia" w:ascii="Calibri" w:hAnsi="Calibri" w:eastAsia="Calibri" w:cs="Calibri"/>
                <w:sz w:val="24"/>
              </w:rPr>
              <w:t>四</w:t>
            </w:r>
            <w:r>
              <w:rPr>
                <w:rFonts w:ascii="宋体;SimSun;宋体" w:hAnsi="宋体;SimSun;宋体" w:cs="宋体;SimSun;宋体"/>
                <w:b/>
                <w:bCs/>
                <w:kern w:val="0"/>
                <w:sz w:val="24"/>
              </w:rPr>
              <w:t>、药效学详解</w:t>
            </w:r>
          </w:p>
          <w:p>
            <w:pPr>
              <w:pStyle w:val="111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</w:rPr>
              <w:t>药效学基本概念解释</w:t>
            </w:r>
          </w:p>
          <w:p>
            <w:pPr>
              <w:pStyle w:val="111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</w:rPr>
              <w:t>ICH　S相关指导原则应用</w:t>
            </w:r>
          </w:p>
          <w:p>
            <w:pPr>
              <w:pStyle w:val="111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</w:rPr>
              <w:t>药效学开展过程中常见问题讨论：</w:t>
            </w:r>
          </w:p>
          <w:p>
            <w:pPr>
              <w:pStyle w:val="111"/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</w:rPr>
              <w:t>药效学实验方案如何设计</w:t>
            </w:r>
          </w:p>
          <w:p>
            <w:pPr>
              <w:pStyle w:val="111"/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rFonts w:ascii="宋体;SimSun;宋体" w:hAnsi="宋体;SimSun;宋体" w:cs="宋体;SimSun;宋体"/>
                <w:kern w:val="0"/>
                <w:sz w:val="24"/>
              </w:rPr>
              <w:t>动物模型的选择（健康、同源性）</w:t>
            </w:r>
          </w:p>
          <w:p>
            <w:pPr>
              <w:ind w:firstLine="960" w:firstLineChars="400"/>
              <w:rPr>
                <w:rFonts w:ascii="Calibri" w:hAnsi="Calibri" w:eastAsia="Calibri" w:cs="Calibri"/>
                <w:b/>
                <w:bCs/>
                <w:sz w:val="24"/>
              </w:rPr>
            </w:pPr>
            <w:r>
              <w:rPr>
                <w:rFonts w:hint="eastAsia" w:ascii="宋体;SimSun;宋体" w:hAnsi="宋体;SimSun;宋体" w:cs="宋体;SimSun;宋体"/>
                <w:sz w:val="24"/>
              </w:rPr>
              <w:t xml:space="preserve"> 3.3</w:t>
            </w:r>
            <w:r>
              <w:rPr>
                <w:rFonts w:ascii="宋体;SimSun;宋体" w:hAnsi="宋体;SimSun;宋体" w:cs="宋体;SimSun;宋体"/>
                <w:sz w:val="24"/>
              </w:rPr>
              <w:t>如何建立有效评估标准（指导结合药物特性）</w:t>
            </w:r>
          </w:p>
          <w:p>
            <w:pPr>
              <w:rPr>
                <w:rFonts w:ascii="宋体;SimSun;宋体" w:hAnsi="宋体;SimSun;宋体" w:cs="宋体;SimSun;宋体"/>
                <w:sz w:val="24"/>
              </w:rPr>
            </w:pPr>
          </w:p>
          <w:p>
            <w:pPr>
              <w:rPr>
                <w:rFonts w:ascii="宋体;SimSun;宋体" w:hAnsi="宋体;SimSun;宋体" w:cs="宋体;SimSun;宋体"/>
                <w:sz w:val="24"/>
              </w:rPr>
            </w:pPr>
          </w:p>
        </w:tc>
      </w:tr>
    </w:tbl>
    <w:p>
      <w:pPr>
        <w:ind w:firstLine="840"/>
        <w:rPr>
          <w:rFonts w:cs="仿宋"/>
          <w:color w:val="000000"/>
          <w:sz w:val="28"/>
          <w:szCs w:val="28"/>
        </w:rPr>
      </w:pPr>
      <w:r>
        <w:br w:type="page"/>
      </w:r>
    </w:p>
    <w:p>
      <w:pPr>
        <w:spacing w:line="259" w:lineRule="auto"/>
        <w:jc w:val="center"/>
        <w:rPr>
          <w:rFonts w:ascii="仿宋_GB2312;仿宋" w:hAnsi="仿宋_GB2312;仿宋" w:eastAsia="仿宋_GB2312;仿宋" w:cs="宋体;SimSun"/>
          <w:b/>
          <w:bCs/>
          <w:sz w:val="30"/>
          <w:szCs w:val="30"/>
        </w:rPr>
      </w:pPr>
      <w:r>
        <w:rPr>
          <w:rFonts w:ascii="仿宋_GB2312;仿宋" w:hAnsi="仿宋_GB2312;仿宋" w:eastAsia="仿宋_GB2312;仿宋" w:cs="宋体;SimSun"/>
          <w:b/>
          <w:bCs/>
          <w:sz w:val="30"/>
          <w:szCs w:val="30"/>
        </w:rPr>
        <w:t>药企如何开展临床前安全性研究</w:t>
      </w:r>
      <w:r>
        <w:rPr>
          <w:rFonts w:hint="eastAsia" w:ascii="仿宋_GB2312;仿宋" w:hAnsi="仿宋_GB2312;仿宋" w:eastAsia="仿宋_GB2312;仿宋" w:cs="宋体;SimSun"/>
          <w:b/>
          <w:bCs/>
          <w:sz w:val="30"/>
          <w:szCs w:val="30"/>
        </w:rPr>
        <w:t>专题</w:t>
      </w:r>
      <w:r>
        <w:rPr>
          <w:rFonts w:ascii="仿宋_GB2312;仿宋" w:hAnsi="仿宋_GB2312;仿宋" w:eastAsia="仿宋_GB2312;仿宋" w:cs="宋体;SimSun"/>
          <w:b/>
          <w:bCs/>
          <w:sz w:val="30"/>
          <w:szCs w:val="30"/>
        </w:rPr>
        <w:t>培训</w:t>
      </w:r>
      <w:r>
        <w:rPr>
          <w:rFonts w:hint="eastAsia" w:ascii="仿宋_GB2312;仿宋" w:hAnsi="仿宋_GB2312;仿宋" w:eastAsia="仿宋_GB2312;仿宋" w:cs="宋体;SimSun"/>
          <w:b/>
          <w:bCs/>
          <w:sz w:val="30"/>
          <w:szCs w:val="30"/>
        </w:rPr>
        <w:t>班</w:t>
      </w:r>
      <w:r>
        <w:rPr>
          <w:rFonts w:ascii="仿宋_GB2312;仿宋" w:hAnsi="仿宋_GB2312;仿宋" w:eastAsia="仿宋_GB2312;仿宋" w:cs="宋体;SimSun"/>
          <w:b/>
          <w:bCs/>
          <w:sz w:val="30"/>
          <w:szCs w:val="30"/>
        </w:rPr>
        <w:t>（ICH S指导）</w:t>
      </w:r>
    </w:p>
    <w:p>
      <w:pPr>
        <w:spacing w:line="259" w:lineRule="auto"/>
        <w:jc w:val="center"/>
        <w:rPr>
          <w:rFonts w:ascii="仿宋_GB2312;仿宋" w:hAnsi="仿宋_GB2312;仿宋" w:eastAsia="仿宋_GB2312;仿宋" w:cs="宋体;SimSun"/>
          <w:b/>
          <w:bCs/>
          <w:sz w:val="30"/>
          <w:szCs w:val="30"/>
        </w:rPr>
      </w:pPr>
      <w:r>
        <w:rPr>
          <w:rFonts w:hint="eastAsia" w:ascii="仿宋_GB2312;仿宋" w:hAnsi="仿宋_GB2312;仿宋" w:eastAsia="仿宋_GB2312;仿宋" w:cs="宋体;SimSun"/>
          <w:b/>
          <w:bCs/>
          <w:sz w:val="30"/>
          <w:szCs w:val="30"/>
        </w:rPr>
        <w:t>回执表</w:t>
      </w:r>
    </w:p>
    <w:tbl>
      <w:tblPr>
        <w:tblStyle w:val="8"/>
        <w:tblW w:w="92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联系人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地  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邮  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姓  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传真/</w:t>
            </w:r>
            <w:r>
              <w:rPr>
                <w:rFonts w:ascii="Arial" w:hAnsi="Arial" w:eastAsia="仿宋_GB2312;仿宋" w:cs="Arial"/>
                <w:sz w:val="28"/>
              </w:rPr>
              <w:t>E-mail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b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仿宋" w:hAnsi="仿宋_GB2312;仿宋" w:eastAsia="仿宋_GB2312;仿宋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;SimSun" w:hAnsi="宋体;SimSun" w:cs="宋体;SimSun"/>
                <w:sz w:val="32"/>
                <w:szCs w:val="32"/>
              </w:rPr>
            </w:pPr>
            <w:r>
              <w:rPr>
                <w:rFonts w:ascii="宋体;SimSun" w:hAnsi="宋体;SimSun" w:cs="宋体;SimSun"/>
                <w:sz w:val="32"/>
                <w:szCs w:val="32"/>
              </w:rPr>
              <w:t xml:space="preserve">住宿是否需要单间：是○ 否○ 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 xml:space="preserve">入住时间：日至日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napToGrid w:val="0"/>
              <w:spacing w:line="440" w:lineRule="exact"/>
              <w:ind w:firstLine="0"/>
              <w:rPr>
                <w:rFonts w:hint="eastAsia" w:eastAsia="仿宋_GB2312;仿宋" w:cs="宋体;SimSun"/>
                <w:b w:val="0"/>
                <w:bCs/>
                <w:szCs w:val="28"/>
                <w:lang w:eastAsia="zh-CN"/>
              </w:rPr>
            </w:pPr>
            <w:r>
              <w:rPr>
                <w:rFonts w:hint="eastAsia" w:cs="宋体;SimSun"/>
                <w:b w:val="0"/>
                <w:bCs/>
                <w:szCs w:val="28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tabs>
                <w:tab w:val="left" w:pos="1440"/>
              </w:tabs>
              <w:snapToGrid w:val="0"/>
              <w:spacing w:line="470" w:lineRule="exact"/>
              <w:ind w:firstLine="0"/>
              <w:rPr>
                <w:rFonts w:hint="eastAsia" w:cs="宋体;SimSun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cs="宋体;SimSun"/>
                <w:b w:val="0"/>
                <w:bCs/>
                <w:szCs w:val="28"/>
                <w:lang w:eastAsia="zh-CN"/>
              </w:rPr>
              <w:t>联系人：马超</w:t>
            </w:r>
            <w:r>
              <w:rPr>
                <w:rFonts w:hint="eastAsia" w:cs="宋体;SimSun"/>
                <w:b w:val="0"/>
                <w:bCs/>
                <w:szCs w:val="28"/>
                <w:lang w:val="en-US" w:eastAsia="zh-CN"/>
              </w:rPr>
              <w:t xml:space="preserve">         电话：010-88287870</w:t>
            </w:r>
          </w:p>
          <w:p>
            <w:pPr>
              <w:pStyle w:val="4"/>
              <w:tabs>
                <w:tab w:val="left" w:pos="1440"/>
              </w:tabs>
              <w:snapToGrid w:val="0"/>
              <w:spacing w:line="470" w:lineRule="exact"/>
              <w:ind w:firstLine="0"/>
              <w:rPr>
                <w:rFonts w:hint="default" w:cs="宋体;SimSun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cs="宋体;SimSun"/>
                <w:b w:val="0"/>
                <w:bCs/>
                <w:szCs w:val="28"/>
                <w:lang w:val="en-US" w:eastAsia="zh-CN"/>
              </w:rPr>
              <w:t>手  机：13240487419  邮箱：1683101345@q.com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420" w:lineRule="exact"/>
              <w:rPr>
                <w:rFonts w:ascii="仿宋_GB2312;仿宋" w:hAnsi="仿宋_GB2312;仿宋" w:eastAsia="仿宋_GB2312;仿宋"/>
                <w:b/>
                <w:bCs/>
                <w:w w:val="90"/>
                <w:sz w:val="30"/>
              </w:rPr>
            </w:pPr>
            <w:r>
              <w:rPr>
                <w:rFonts w:ascii="仿宋_GB2312;仿宋" w:hAnsi="仿宋_GB2312;仿宋" w:eastAsia="仿宋_GB2312;仿宋"/>
                <w:b/>
                <w:bCs/>
                <w:w w:val="90"/>
                <w:sz w:val="30"/>
              </w:rPr>
              <w:t>针对本次培训专题内容，结合实际工作中遇到哪些问题？以便我们反馈给老师并到会场交流探讨、答疑解惑。</w:t>
            </w:r>
          </w:p>
          <w:p>
            <w:r>
              <w:rPr>
                <w:rFonts w:ascii="仿宋_GB2312;仿宋" w:hAnsi="仿宋_GB2312;仿宋" w:eastAsia="仿宋_GB2312;仿宋" w:cs="宋体;SimSun"/>
                <w:sz w:val="28"/>
              </w:rPr>
              <w:t>问题1、</w:t>
            </w:r>
          </w:p>
          <w:p>
            <w:pPr>
              <w:rPr>
                <w:rFonts w:ascii="仿宋_GB2312;仿宋" w:hAnsi="仿宋_GB2312;仿宋" w:eastAsia="仿宋_GB2312;仿宋" w:cs="宋体;SimSun"/>
                <w:sz w:val="28"/>
              </w:rPr>
            </w:pPr>
            <w:r>
              <w:rPr>
                <w:rFonts w:ascii="仿宋_GB2312;仿宋" w:hAnsi="仿宋_GB2312;仿宋" w:eastAsia="仿宋_GB2312;仿宋" w:cs="宋体;SimSun"/>
                <w:sz w:val="28"/>
              </w:rPr>
              <w:t>问题2、</w:t>
            </w:r>
          </w:p>
        </w:tc>
      </w:tr>
    </w:tbl>
    <w:p/>
    <w:p/>
    <w:p>
      <w:pPr>
        <w:rPr>
          <w:rFonts w:ascii="黑体;SimHei" w:hAnsi="黑体;SimHei" w:eastAsia="黑体;SimHei"/>
          <w:b/>
          <w:sz w:val="28"/>
        </w:rPr>
      </w:pPr>
    </w:p>
    <w:sectPr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461017AE"/>
    <w:multiLevelType w:val="multilevel"/>
    <w:tmpl w:val="461017A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B12"/>
    <w:rsid w:val="0015398A"/>
    <w:rsid w:val="001C741C"/>
    <w:rsid w:val="00205F1C"/>
    <w:rsid w:val="002D1F0E"/>
    <w:rsid w:val="002D2676"/>
    <w:rsid w:val="005B42BF"/>
    <w:rsid w:val="006A7B12"/>
    <w:rsid w:val="008502A1"/>
    <w:rsid w:val="00862CA1"/>
    <w:rsid w:val="009313DD"/>
    <w:rsid w:val="009C1E6A"/>
    <w:rsid w:val="009E2DDE"/>
    <w:rsid w:val="00A92A16"/>
    <w:rsid w:val="00DE6621"/>
    <w:rsid w:val="00E251AE"/>
    <w:rsid w:val="00EE2D81"/>
    <w:rsid w:val="00FD4C13"/>
    <w:rsid w:val="00FD7A9C"/>
    <w:rsid w:val="076C0254"/>
    <w:rsid w:val="0CC07EF4"/>
    <w:rsid w:val="13123CF3"/>
    <w:rsid w:val="2B8C7BFD"/>
    <w:rsid w:val="4EBB7600"/>
    <w:rsid w:val="51DB48ED"/>
    <w:rsid w:val="56F02AA1"/>
    <w:rsid w:val="61B25A4C"/>
    <w:rsid w:val="6351E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DejaVu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7">
    <w:name w:val="List"/>
    <w:basedOn w:val="3"/>
    <w:qFormat/>
    <w:uiPriority w:val="0"/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WW8Num1z0"/>
    <w:qFormat/>
    <w:uiPriority w:val="0"/>
  </w:style>
  <w:style w:type="character" w:customStyle="1" w:styleId="13">
    <w:name w:val="WW8Num1z1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3"/>
    <w:qFormat/>
    <w:uiPriority w:val="0"/>
  </w:style>
  <w:style w:type="character" w:customStyle="1" w:styleId="16">
    <w:name w:val="WW8Num1z4"/>
    <w:qFormat/>
    <w:uiPriority w:val="0"/>
  </w:style>
  <w:style w:type="character" w:customStyle="1" w:styleId="17">
    <w:name w:val="WW8Num1z5"/>
    <w:qFormat/>
    <w:uiPriority w:val="0"/>
  </w:style>
  <w:style w:type="character" w:customStyle="1" w:styleId="18">
    <w:name w:val="WW8Num1z6"/>
    <w:qFormat/>
    <w:uiPriority w:val="0"/>
  </w:style>
  <w:style w:type="character" w:customStyle="1" w:styleId="19">
    <w:name w:val="WW8Num1z7"/>
    <w:qFormat/>
    <w:uiPriority w:val="0"/>
  </w:style>
  <w:style w:type="character" w:customStyle="1" w:styleId="20">
    <w:name w:val="WW8Num1z8"/>
    <w:qFormat/>
    <w:uiPriority w:val="0"/>
  </w:style>
  <w:style w:type="character" w:customStyle="1" w:styleId="21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2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3">
    <w:name w:val="WW8Num2z2"/>
    <w:qFormat/>
    <w:uiPriority w:val="0"/>
  </w:style>
  <w:style w:type="character" w:customStyle="1" w:styleId="24">
    <w:name w:val="WW8Num2z3"/>
    <w:qFormat/>
    <w:uiPriority w:val="0"/>
  </w:style>
  <w:style w:type="character" w:customStyle="1" w:styleId="25">
    <w:name w:val="WW8Num2z4"/>
    <w:qFormat/>
    <w:uiPriority w:val="0"/>
  </w:style>
  <w:style w:type="character" w:customStyle="1" w:styleId="26">
    <w:name w:val="WW8Num2z5"/>
    <w:qFormat/>
    <w:uiPriority w:val="0"/>
  </w:style>
  <w:style w:type="character" w:customStyle="1" w:styleId="27">
    <w:name w:val="WW8Num2z6"/>
    <w:qFormat/>
    <w:uiPriority w:val="0"/>
  </w:style>
  <w:style w:type="character" w:customStyle="1" w:styleId="28">
    <w:name w:val="WW8Num2z7"/>
    <w:qFormat/>
    <w:uiPriority w:val="0"/>
  </w:style>
  <w:style w:type="character" w:customStyle="1" w:styleId="29">
    <w:name w:val="WW8Num2z8"/>
    <w:qFormat/>
    <w:uiPriority w:val="0"/>
  </w:style>
  <w:style w:type="character" w:customStyle="1" w:styleId="30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31">
    <w:name w:val="WW8Num3z1"/>
    <w:qFormat/>
    <w:uiPriority w:val="0"/>
  </w:style>
  <w:style w:type="character" w:customStyle="1" w:styleId="32">
    <w:name w:val="WW8Num3z2"/>
    <w:qFormat/>
    <w:uiPriority w:val="0"/>
  </w:style>
  <w:style w:type="character" w:customStyle="1" w:styleId="33">
    <w:name w:val="WW8Num3z3"/>
    <w:qFormat/>
    <w:uiPriority w:val="0"/>
  </w:style>
  <w:style w:type="character" w:customStyle="1" w:styleId="34">
    <w:name w:val="WW8Num3z4"/>
    <w:qFormat/>
    <w:uiPriority w:val="0"/>
  </w:style>
  <w:style w:type="character" w:customStyle="1" w:styleId="35">
    <w:name w:val="WW8Num3z5"/>
    <w:qFormat/>
    <w:uiPriority w:val="0"/>
  </w:style>
  <w:style w:type="character" w:customStyle="1" w:styleId="36">
    <w:name w:val="WW8Num3z6"/>
    <w:qFormat/>
    <w:uiPriority w:val="0"/>
  </w:style>
  <w:style w:type="character" w:customStyle="1" w:styleId="37">
    <w:name w:val="WW8Num3z7"/>
    <w:qFormat/>
    <w:uiPriority w:val="0"/>
  </w:style>
  <w:style w:type="character" w:customStyle="1" w:styleId="38">
    <w:name w:val="WW8Num3z8"/>
    <w:qFormat/>
    <w:uiPriority w:val="0"/>
  </w:style>
  <w:style w:type="character" w:customStyle="1" w:styleId="39">
    <w:name w:val="WW8Num4z0"/>
    <w:qFormat/>
    <w:uiPriority w:val="0"/>
  </w:style>
  <w:style w:type="character" w:customStyle="1" w:styleId="40">
    <w:name w:val="WW8Num4z1"/>
    <w:qFormat/>
    <w:uiPriority w:val="0"/>
  </w:style>
  <w:style w:type="character" w:customStyle="1" w:styleId="41">
    <w:name w:val="WW8Num4z2"/>
    <w:qFormat/>
    <w:uiPriority w:val="0"/>
  </w:style>
  <w:style w:type="character" w:customStyle="1" w:styleId="42">
    <w:name w:val="WW8Num4z3"/>
    <w:qFormat/>
    <w:uiPriority w:val="0"/>
  </w:style>
  <w:style w:type="character" w:customStyle="1" w:styleId="43">
    <w:name w:val="WW8Num4z4"/>
    <w:qFormat/>
    <w:uiPriority w:val="0"/>
  </w:style>
  <w:style w:type="character" w:customStyle="1" w:styleId="44">
    <w:name w:val="WW8Num4z5"/>
    <w:qFormat/>
    <w:uiPriority w:val="0"/>
  </w:style>
  <w:style w:type="character" w:customStyle="1" w:styleId="45">
    <w:name w:val="WW8Num4z6"/>
    <w:qFormat/>
    <w:uiPriority w:val="0"/>
  </w:style>
  <w:style w:type="character" w:customStyle="1" w:styleId="46">
    <w:name w:val="WW8Num4z7"/>
    <w:qFormat/>
    <w:uiPriority w:val="0"/>
  </w:style>
  <w:style w:type="character" w:customStyle="1" w:styleId="47">
    <w:name w:val="WW8Num4z8"/>
    <w:qFormat/>
    <w:uiPriority w:val="0"/>
  </w:style>
  <w:style w:type="character" w:customStyle="1" w:styleId="48">
    <w:name w:val="WW8Num5z0"/>
    <w:qFormat/>
    <w:uiPriority w:val="0"/>
  </w:style>
  <w:style w:type="character" w:customStyle="1" w:styleId="49">
    <w:name w:val="WW8Num6z0"/>
    <w:qFormat/>
    <w:uiPriority w:val="0"/>
  </w:style>
  <w:style w:type="character" w:customStyle="1" w:styleId="50">
    <w:name w:val="WW8Num6z1"/>
    <w:qFormat/>
    <w:uiPriority w:val="0"/>
  </w:style>
  <w:style w:type="character" w:customStyle="1" w:styleId="51">
    <w:name w:val="WW8Num6z2"/>
    <w:qFormat/>
    <w:uiPriority w:val="0"/>
  </w:style>
  <w:style w:type="character" w:customStyle="1" w:styleId="52">
    <w:name w:val="WW8Num6z3"/>
    <w:qFormat/>
    <w:uiPriority w:val="0"/>
  </w:style>
  <w:style w:type="character" w:customStyle="1" w:styleId="53">
    <w:name w:val="WW8Num6z4"/>
    <w:qFormat/>
    <w:uiPriority w:val="0"/>
  </w:style>
  <w:style w:type="character" w:customStyle="1" w:styleId="54">
    <w:name w:val="WW8Num6z5"/>
    <w:qFormat/>
    <w:uiPriority w:val="0"/>
  </w:style>
  <w:style w:type="character" w:customStyle="1" w:styleId="55">
    <w:name w:val="WW8Num6z6"/>
    <w:qFormat/>
    <w:uiPriority w:val="0"/>
  </w:style>
  <w:style w:type="character" w:customStyle="1" w:styleId="56">
    <w:name w:val="WW8Num6z7"/>
    <w:qFormat/>
    <w:uiPriority w:val="0"/>
  </w:style>
  <w:style w:type="character" w:customStyle="1" w:styleId="57">
    <w:name w:val="WW8Num6z8"/>
    <w:qFormat/>
    <w:uiPriority w:val="0"/>
  </w:style>
  <w:style w:type="character" w:customStyle="1" w:styleId="58">
    <w:name w:val="WW8Num7z0"/>
    <w:qFormat/>
    <w:uiPriority w:val="0"/>
  </w:style>
  <w:style w:type="character" w:customStyle="1" w:styleId="59">
    <w:name w:val="WW8Num7z1"/>
    <w:qFormat/>
    <w:uiPriority w:val="0"/>
  </w:style>
  <w:style w:type="character" w:customStyle="1" w:styleId="60">
    <w:name w:val="WW8Num7z2"/>
    <w:qFormat/>
    <w:uiPriority w:val="0"/>
  </w:style>
  <w:style w:type="character" w:customStyle="1" w:styleId="61">
    <w:name w:val="WW8Num7z3"/>
    <w:qFormat/>
    <w:uiPriority w:val="0"/>
  </w:style>
  <w:style w:type="character" w:customStyle="1" w:styleId="62">
    <w:name w:val="WW8Num7z4"/>
    <w:qFormat/>
    <w:uiPriority w:val="0"/>
  </w:style>
  <w:style w:type="character" w:customStyle="1" w:styleId="63">
    <w:name w:val="WW8Num7z5"/>
    <w:qFormat/>
    <w:uiPriority w:val="0"/>
  </w:style>
  <w:style w:type="character" w:customStyle="1" w:styleId="64">
    <w:name w:val="WW8Num7z6"/>
    <w:qFormat/>
    <w:uiPriority w:val="0"/>
  </w:style>
  <w:style w:type="character" w:customStyle="1" w:styleId="65">
    <w:name w:val="WW8Num7z7"/>
    <w:qFormat/>
    <w:uiPriority w:val="0"/>
  </w:style>
  <w:style w:type="character" w:customStyle="1" w:styleId="66">
    <w:name w:val="WW8Num7z8"/>
    <w:qFormat/>
    <w:uiPriority w:val="0"/>
  </w:style>
  <w:style w:type="character" w:customStyle="1" w:styleId="67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68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69">
    <w:name w:val="WW8Num8z2"/>
    <w:qFormat/>
    <w:uiPriority w:val="0"/>
  </w:style>
  <w:style w:type="character" w:customStyle="1" w:styleId="70">
    <w:name w:val="WW8Num8z3"/>
    <w:qFormat/>
    <w:uiPriority w:val="0"/>
  </w:style>
  <w:style w:type="character" w:customStyle="1" w:styleId="71">
    <w:name w:val="WW8Num8z4"/>
    <w:qFormat/>
    <w:uiPriority w:val="0"/>
  </w:style>
  <w:style w:type="character" w:customStyle="1" w:styleId="72">
    <w:name w:val="WW8Num8z5"/>
    <w:qFormat/>
    <w:uiPriority w:val="0"/>
  </w:style>
  <w:style w:type="character" w:customStyle="1" w:styleId="73">
    <w:name w:val="WW8Num8z6"/>
    <w:qFormat/>
    <w:uiPriority w:val="0"/>
  </w:style>
  <w:style w:type="character" w:customStyle="1" w:styleId="74">
    <w:name w:val="WW8Num8z7"/>
    <w:qFormat/>
    <w:uiPriority w:val="0"/>
  </w:style>
  <w:style w:type="character" w:customStyle="1" w:styleId="75">
    <w:name w:val="WW8Num8z8"/>
    <w:qFormat/>
    <w:uiPriority w:val="0"/>
  </w:style>
  <w:style w:type="character" w:customStyle="1" w:styleId="76">
    <w:name w:val="WW8Num9z0"/>
    <w:qFormat/>
    <w:uiPriority w:val="0"/>
  </w:style>
  <w:style w:type="character" w:customStyle="1" w:styleId="77">
    <w:name w:val="WW8Num9z1"/>
    <w:qFormat/>
    <w:uiPriority w:val="0"/>
  </w:style>
  <w:style w:type="character" w:customStyle="1" w:styleId="78">
    <w:name w:val="WW8Num9z2"/>
    <w:qFormat/>
    <w:uiPriority w:val="0"/>
  </w:style>
  <w:style w:type="character" w:customStyle="1" w:styleId="79">
    <w:name w:val="WW8Num9z3"/>
    <w:qFormat/>
    <w:uiPriority w:val="0"/>
  </w:style>
  <w:style w:type="character" w:customStyle="1" w:styleId="80">
    <w:name w:val="WW8Num9z4"/>
    <w:qFormat/>
    <w:uiPriority w:val="0"/>
  </w:style>
  <w:style w:type="character" w:customStyle="1" w:styleId="81">
    <w:name w:val="WW8Num9z5"/>
    <w:qFormat/>
    <w:uiPriority w:val="0"/>
  </w:style>
  <w:style w:type="character" w:customStyle="1" w:styleId="82">
    <w:name w:val="WW8Num9z6"/>
    <w:qFormat/>
    <w:uiPriority w:val="0"/>
  </w:style>
  <w:style w:type="character" w:customStyle="1" w:styleId="83">
    <w:name w:val="WW8Num9z7"/>
    <w:qFormat/>
    <w:uiPriority w:val="0"/>
  </w:style>
  <w:style w:type="character" w:customStyle="1" w:styleId="84">
    <w:name w:val="WW8Num9z8"/>
    <w:qFormat/>
    <w:uiPriority w:val="0"/>
  </w:style>
  <w:style w:type="character" w:customStyle="1" w:styleId="85">
    <w:name w:val="WW8Num10z0"/>
    <w:qFormat/>
    <w:uiPriority w:val="0"/>
  </w:style>
  <w:style w:type="character" w:customStyle="1" w:styleId="86">
    <w:name w:val="WW8Num10z1"/>
    <w:qFormat/>
    <w:uiPriority w:val="0"/>
  </w:style>
  <w:style w:type="character" w:customStyle="1" w:styleId="87">
    <w:name w:val="WW8Num10z2"/>
    <w:qFormat/>
    <w:uiPriority w:val="0"/>
  </w:style>
  <w:style w:type="character" w:customStyle="1" w:styleId="88">
    <w:name w:val="WW8Num10z3"/>
    <w:qFormat/>
    <w:uiPriority w:val="0"/>
  </w:style>
  <w:style w:type="character" w:customStyle="1" w:styleId="89">
    <w:name w:val="WW8Num10z4"/>
    <w:qFormat/>
    <w:uiPriority w:val="0"/>
  </w:style>
  <w:style w:type="character" w:customStyle="1" w:styleId="90">
    <w:name w:val="WW8Num10z5"/>
    <w:qFormat/>
    <w:uiPriority w:val="0"/>
  </w:style>
  <w:style w:type="character" w:customStyle="1" w:styleId="91">
    <w:name w:val="WW8Num10z6"/>
    <w:qFormat/>
    <w:uiPriority w:val="0"/>
  </w:style>
  <w:style w:type="character" w:customStyle="1" w:styleId="92">
    <w:name w:val="WW8Num10z7"/>
    <w:qFormat/>
    <w:uiPriority w:val="0"/>
  </w:style>
  <w:style w:type="character" w:customStyle="1" w:styleId="93">
    <w:name w:val="WW8Num10z8"/>
    <w:qFormat/>
    <w:uiPriority w:val="0"/>
  </w:style>
  <w:style w:type="character" w:customStyle="1" w:styleId="94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5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6">
    <w:name w:val="WW8Num11z2"/>
    <w:qFormat/>
    <w:uiPriority w:val="0"/>
  </w:style>
  <w:style w:type="character" w:customStyle="1" w:styleId="97">
    <w:name w:val="WW8Num11z3"/>
    <w:qFormat/>
    <w:uiPriority w:val="0"/>
  </w:style>
  <w:style w:type="character" w:customStyle="1" w:styleId="98">
    <w:name w:val="WW8Num11z4"/>
    <w:qFormat/>
    <w:uiPriority w:val="0"/>
  </w:style>
  <w:style w:type="character" w:customStyle="1" w:styleId="99">
    <w:name w:val="WW8Num11z5"/>
    <w:qFormat/>
    <w:uiPriority w:val="0"/>
  </w:style>
  <w:style w:type="character" w:customStyle="1" w:styleId="100">
    <w:name w:val="WW8Num11z6"/>
    <w:qFormat/>
    <w:uiPriority w:val="0"/>
  </w:style>
  <w:style w:type="character" w:customStyle="1" w:styleId="101">
    <w:name w:val="WW8Num11z7"/>
    <w:qFormat/>
    <w:uiPriority w:val="0"/>
  </w:style>
  <w:style w:type="character" w:customStyle="1" w:styleId="102">
    <w:name w:val="WW8Num11z8"/>
    <w:qFormat/>
    <w:uiPriority w:val="0"/>
  </w:style>
  <w:style w:type="character" w:customStyle="1" w:styleId="103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04">
    <w:name w:val="页眉 字符"/>
    <w:qFormat/>
    <w:uiPriority w:val="0"/>
    <w:rPr>
      <w:sz w:val="18"/>
      <w:szCs w:val="18"/>
    </w:rPr>
  </w:style>
  <w:style w:type="character" w:customStyle="1" w:styleId="105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6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7">
    <w:name w:val="Strong Emphasis"/>
    <w:qFormat/>
    <w:uiPriority w:val="0"/>
    <w:rPr>
      <w:b/>
      <w:bCs/>
    </w:rPr>
  </w:style>
  <w:style w:type="paragraph" w:customStyle="1" w:styleId="108">
    <w:name w:val="Heading"/>
    <w:basedOn w:val="1"/>
    <w:next w:val="3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09">
    <w:name w:val="Index"/>
    <w:basedOn w:val="1"/>
    <w:qFormat/>
    <w:uiPriority w:val="0"/>
    <w:pPr>
      <w:suppressLineNumbers/>
    </w:pPr>
  </w:style>
  <w:style w:type="paragraph" w:customStyle="1" w:styleId="110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styleId="111">
    <w:name w:val="List Paragraph"/>
    <w:basedOn w:val="1"/>
    <w:qFormat/>
    <w:uiPriority w:val="0"/>
    <w:pPr>
      <w:ind w:firstLine="420"/>
    </w:pPr>
  </w:style>
  <w:style w:type="paragraph" w:customStyle="1" w:styleId="112">
    <w:name w:val="Table Contents"/>
    <w:basedOn w:val="1"/>
    <w:qFormat/>
    <w:uiPriority w:val="0"/>
    <w:pPr>
      <w:suppressLineNumbers/>
    </w:pPr>
  </w:style>
  <w:style w:type="paragraph" w:customStyle="1" w:styleId="113">
    <w:name w:val="Table Heading"/>
    <w:basedOn w:val="11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1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2018-02-26T05:54:00Z</dcterms:created>
  <dc:creator>微软用户</dc:creator>
  <cp:lastModifiedBy>Administrator</cp:lastModifiedBy>
  <dcterms:modified xsi:type="dcterms:W3CDTF">2019-03-04T07:08:23Z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