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10160</wp:posOffset>
            </wp:positionV>
            <wp:extent cx="5170170" cy="626745"/>
            <wp:effectExtent l="0" t="0" r="11430" b="1905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4" cstate="print"/>
                    <a:srcRect l="-7" t="-66" r="-7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</w:p>
    <w:p>
      <w:pPr>
        <w:spacing w:line="400" w:lineRule="exact"/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</w:pPr>
      <w: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236855</wp:posOffset>
            </wp:positionV>
            <wp:extent cx="5276850" cy="638175"/>
            <wp:effectExtent l="0" t="0" r="11430" b="1905"/>
            <wp:wrapNone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</w:pPr>
    </w:p>
    <w:p>
      <w:pPr>
        <w:ind w:right="50"/>
        <w:rPr>
          <w:rFonts w:ascii="宋体;SimSun" w:hAnsi="宋体;SimSun" w:cs="宋体;SimSun"/>
          <w:sz w:val="36"/>
          <w:szCs w:val="36"/>
        </w:rPr>
      </w:pPr>
      <w:r>
        <w:pict>
          <v:line id="1028" o:spid="_x0000_s1026" o:spt="20" style="position:absolute;left:0pt;flip:y;margin-left:0.7pt;margin-top:30.7pt;height:0.6pt;width:408.9pt;z-index:1024;mso-width-relative:page;mso-height-relative:page;" stroked="t" coordsize="21600,21600">
            <v:path arrowok="t"/>
            <v:fill focussize="0,0"/>
            <v:stroke weight="1.5pt" color="#FF0000" joinstyle="miter"/>
            <v:imagedata o:title=""/>
            <o:lock v:ext="edit"/>
          </v:line>
        </w:pict>
      </w:r>
    </w:p>
    <w:p>
      <w:pPr>
        <w:ind w:left="1807" w:right="50" w:hanging="1807" w:hangingChars="500"/>
        <w:rPr>
          <w:rFonts w:ascii="宋体;SimSun" w:hAnsi="宋体;SimSun" w:cs="宋体;SimSun"/>
          <w:b/>
          <w:bCs/>
          <w:sz w:val="36"/>
          <w:szCs w:val="36"/>
        </w:rPr>
      </w:pPr>
      <w:r>
        <w:rPr>
          <w:rFonts w:ascii="宋体;SimSun" w:hAnsi="宋体;SimSun" w:cs="宋体;SimSun"/>
          <w:b/>
          <w:bCs/>
          <w:sz w:val="36"/>
          <w:szCs w:val="36"/>
        </w:rPr>
        <w:t>关于举办“2019</w:t>
      </w:r>
      <w:r>
        <w:rPr>
          <w:rFonts w:hint="eastAsia" w:ascii="宋体;SimSun" w:hAnsi="宋体;SimSun" w:cs="宋体;SimSun"/>
          <w:b/>
          <w:bCs/>
          <w:sz w:val="36"/>
          <w:szCs w:val="36"/>
        </w:rPr>
        <w:t>新药法委托生产及工艺转移管理与应用专题培训班”</w:t>
      </w:r>
      <w:r>
        <w:rPr>
          <w:rFonts w:ascii="宋体;SimSun" w:hAnsi="宋体;SimSun" w:cs="宋体;SimSun"/>
          <w:b/>
          <w:bCs/>
          <w:sz w:val="36"/>
          <w:szCs w:val="36"/>
        </w:rPr>
        <w:t>的通知</w:t>
      </w:r>
    </w:p>
    <w:p>
      <w:pPr>
        <w:spacing w:line="400" w:lineRule="exact"/>
        <w:rPr>
          <w:rFonts w:cs="仿宋"/>
        </w:rPr>
      </w:pPr>
      <w:r>
        <w:rPr>
          <w:rFonts w:cs="仿宋"/>
          <w:color w:val="000000"/>
          <w:sz w:val="28"/>
          <w:szCs w:val="28"/>
        </w:rPr>
        <w:t>各有关单位：</w:t>
      </w:r>
    </w:p>
    <w:p>
      <w:pPr>
        <w:spacing w:line="400" w:lineRule="exact"/>
        <w:ind w:firstLine="560"/>
        <w:rPr>
          <w:rFonts w:cs="仿宋"/>
          <w:color w:val="000000"/>
          <w:sz w:val="28"/>
          <w:szCs w:val="28"/>
        </w:rPr>
      </w:pPr>
      <w:r>
        <w:rPr>
          <w:rFonts w:hint="eastAsia" w:cs="仿宋"/>
          <w:color w:val="000000"/>
          <w:sz w:val="28"/>
          <w:szCs w:val="28"/>
        </w:rPr>
        <w:t>新修订《药品管理法》将于</w:t>
      </w:r>
      <w:r>
        <w:rPr>
          <w:rFonts w:cs="仿宋"/>
          <w:color w:val="000000"/>
          <w:sz w:val="28"/>
          <w:szCs w:val="28"/>
        </w:rPr>
        <w:t>2019</w:t>
      </w:r>
      <w:r>
        <w:rPr>
          <w:rFonts w:hint="eastAsia" w:cs="仿宋"/>
          <w:color w:val="000000"/>
          <w:sz w:val="28"/>
          <w:szCs w:val="28"/>
        </w:rPr>
        <w:t>年</w:t>
      </w:r>
      <w:r>
        <w:rPr>
          <w:rFonts w:cs="仿宋"/>
          <w:color w:val="000000"/>
          <w:sz w:val="28"/>
          <w:szCs w:val="28"/>
        </w:rPr>
        <w:t>12</w:t>
      </w:r>
      <w:r>
        <w:rPr>
          <w:rFonts w:hint="eastAsia" w:cs="仿宋"/>
          <w:color w:val="000000"/>
          <w:sz w:val="28"/>
          <w:szCs w:val="28"/>
        </w:rPr>
        <w:t>月</w:t>
      </w:r>
      <w:r>
        <w:rPr>
          <w:rFonts w:cs="仿宋"/>
          <w:color w:val="000000"/>
          <w:sz w:val="28"/>
          <w:szCs w:val="28"/>
        </w:rPr>
        <w:t>1</w:t>
      </w:r>
      <w:r>
        <w:rPr>
          <w:rFonts w:hint="eastAsia" w:cs="仿宋"/>
          <w:color w:val="000000"/>
          <w:sz w:val="28"/>
          <w:szCs w:val="28"/>
        </w:rPr>
        <w:t>日施行，其中第三十二条对药品的委托生产进行了直接规定：</w:t>
      </w:r>
      <w:r>
        <w:rPr>
          <w:rFonts w:hint="eastAsia" w:cs="仿宋"/>
          <w:b/>
          <w:bCs/>
          <w:color w:val="000000"/>
          <w:sz w:val="28"/>
          <w:szCs w:val="28"/>
        </w:rPr>
        <w:t>“药品上市许可持有人可以自行生产药品，也可以委托药品生产企业生产。”</w:t>
      </w:r>
    </w:p>
    <w:p>
      <w:pPr>
        <w:spacing w:line="400" w:lineRule="exact"/>
        <w:ind w:firstLine="560"/>
        <w:rPr>
          <w:rFonts w:cs="仿宋"/>
          <w:color w:val="000000"/>
          <w:sz w:val="28"/>
          <w:szCs w:val="28"/>
        </w:rPr>
      </w:pPr>
      <w:r>
        <w:rPr>
          <w:rFonts w:hint="eastAsia" w:cs="仿宋"/>
          <w:color w:val="000000"/>
          <w:sz w:val="28"/>
          <w:szCs w:val="28"/>
        </w:rPr>
        <w:t>委托生产不仅是一个单独的规定，背后还有MAH上市许可持有人制度的支持，同时还有生产许可证等认证方式的变更。权利与责任对待，收益同风险挂钩。在新药法的规定中，也详细说明了各方的质量责任以及可能发生的行政及刑事问题。</w:t>
      </w:r>
    </w:p>
    <w:p>
      <w:pPr>
        <w:spacing w:line="400" w:lineRule="exact"/>
        <w:ind w:firstLine="560"/>
        <w:rPr>
          <w:rFonts w:cs="仿宋"/>
          <w:color w:val="000000"/>
          <w:sz w:val="28"/>
          <w:szCs w:val="28"/>
        </w:rPr>
      </w:pPr>
      <w:r>
        <w:rPr>
          <w:rFonts w:hint="eastAsia" w:cs="仿宋"/>
          <w:color w:val="000000"/>
          <w:sz w:val="28"/>
          <w:szCs w:val="28"/>
        </w:rPr>
        <w:t>对于我们的广大制药企业来说，如何积极地应对变化，如何充分利用法规框架给予的机会，利用灵活的MAH操作，给自身创造更多的价值，才是企业关注的核心内容。</w:t>
      </w:r>
    </w:p>
    <w:p>
      <w:pPr>
        <w:spacing w:line="400" w:lineRule="exact"/>
        <w:ind w:firstLine="560"/>
        <w:rPr>
          <w:rFonts w:cs="仿宋"/>
          <w:color w:val="000000"/>
          <w:sz w:val="28"/>
          <w:szCs w:val="28"/>
        </w:rPr>
      </w:pPr>
      <w:r>
        <w:rPr>
          <w:rFonts w:cs="仿宋"/>
          <w:color w:val="000000"/>
          <w:sz w:val="28"/>
          <w:szCs w:val="28"/>
        </w:rPr>
        <w:t>为此，本单</w:t>
      </w:r>
      <w:r>
        <w:rPr>
          <w:rFonts w:hint="eastAsia" w:cs="仿宋"/>
          <w:color w:val="000000"/>
          <w:sz w:val="28"/>
          <w:szCs w:val="28"/>
        </w:rPr>
        <w:t>位定于2019年 12月 27日至 29日在杭州市举办“2019新药法委托生产及工艺转移管理与应用专题培训班”，邀请业内权威专家针对相关问题进行深入解析。培训通知如下：</w:t>
      </w:r>
    </w:p>
    <w:p>
      <w:pPr>
        <w:spacing w:line="420" w:lineRule="exac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5"/>
        <w:spacing w:line="440" w:lineRule="exact"/>
        <w:rPr>
          <w:rFonts w:ascii="Times New Roman" w:hAnsi="Times New Roman" w:eastAsia="宋体;SimSun" w:cs="仿宋"/>
          <w:b w:val="0"/>
          <w:color w:val="000000"/>
          <w:kern w:val="2"/>
          <w:szCs w:val="28"/>
        </w:rPr>
      </w:pPr>
      <w:r>
        <w:rPr>
          <w:rFonts w:hint="eastAsia" w:ascii="Times New Roman" w:hAnsi="Times New Roman" w:eastAsia="宋体;SimSun" w:cs="仿宋"/>
          <w:b w:val="0"/>
          <w:color w:val="000000"/>
          <w:kern w:val="2"/>
          <w:szCs w:val="28"/>
        </w:rPr>
        <w:t>会议地点：杭州（具体地点通知给已报名人员）</w:t>
      </w:r>
    </w:p>
    <w:p>
      <w:pPr>
        <w:pStyle w:val="5"/>
        <w:spacing w:line="440" w:lineRule="exact"/>
        <w:rPr>
          <w:rFonts w:ascii="Times New Roman" w:hAnsi="Times New Roman" w:eastAsia="宋体;SimSun" w:cs="仿宋"/>
          <w:b w:val="0"/>
          <w:color w:val="000000"/>
          <w:kern w:val="2"/>
          <w:szCs w:val="28"/>
        </w:rPr>
      </w:pPr>
      <w:r>
        <w:rPr>
          <w:rFonts w:hint="eastAsia" w:ascii="Times New Roman" w:hAnsi="Times New Roman" w:eastAsia="宋体;SimSun" w:cs="仿宋"/>
          <w:b w:val="0"/>
          <w:color w:val="000000"/>
          <w:kern w:val="2"/>
          <w:szCs w:val="28"/>
        </w:rPr>
        <w:t>会议时间：2019年 12月 27日- 12月 29日( 27日全天报到)</w:t>
      </w:r>
    </w:p>
    <w:p>
      <w:pPr>
        <w:pStyle w:val="5"/>
        <w:spacing w:line="440" w:lineRule="exact"/>
        <w:rPr>
          <w:rFonts w:ascii="Times New Roman" w:hAnsi="Times New Roman" w:eastAsia="宋体;SimSun" w:cs="仿宋"/>
          <w:b w:val="0"/>
          <w:color w:val="000000"/>
          <w:kern w:val="2"/>
          <w:szCs w:val="28"/>
        </w:rPr>
      </w:pP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会议主要研讨内容及主讲老师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内容详见附件一（课程安排表）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参会对象</w:t>
      </w:r>
    </w:p>
    <w:p>
      <w:pPr>
        <w:pStyle w:val="5"/>
        <w:spacing w:line="440" w:lineRule="exact"/>
        <w:ind w:firstLine="0"/>
        <w:rPr>
          <w:rFonts w:eastAsia="Times New Roman"/>
          <w:szCs w:val="28"/>
        </w:rPr>
      </w:pPr>
      <w:r>
        <w:rPr>
          <w:rFonts w:ascii="黑体;SimHei" w:hAnsi="黑体;SimHei" w:eastAsia="黑体;SimHei" w:cs="宋体;SimSun"/>
          <w:spacing w:val="-4"/>
        </w:rPr>
        <w:t>制药公司</w:t>
      </w:r>
      <w:r>
        <w:rPr>
          <w:rFonts w:hint="eastAsia" w:ascii="黑体;SimHei" w:hAnsi="黑体;SimHei" w:eastAsia="黑体;SimHei" w:cs="宋体;SimSun"/>
          <w:spacing w:val="-4"/>
        </w:rPr>
        <w:t>生产、</w:t>
      </w:r>
      <w:r>
        <w:rPr>
          <w:rFonts w:ascii="黑体;SimHei" w:hAnsi="黑体;SimHei" w:eastAsia="黑体;SimHei" w:cs="宋体;SimSun"/>
          <w:spacing w:val="-4"/>
        </w:rPr>
        <w:t>质量、验证、</w:t>
      </w:r>
      <w:r>
        <w:rPr>
          <w:rFonts w:hint="eastAsia" w:ascii="黑体;SimHei" w:hAnsi="黑体;SimHei" w:eastAsia="黑体;SimHei" w:cs="宋体;SimSun"/>
          <w:spacing w:val="-4"/>
        </w:rPr>
        <w:t>供应链、注册</w:t>
      </w:r>
      <w:r>
        <w:rPr>
          <w:rFonts w:ascii="黑体;SimHei" w:hAnsi="黑体;SimHei" w:eastAsia="黑体;SimHei" w:cs="宋体;SimSun"/>
          <w:spacing w:val="-4"/>
        </w:rPr>
        <w:t>等相关部门人员，企业高层。</w:t>
      </w:r>
    </w:p>
    <w:p>
      <w:pPr>
        <w:widowControl/>
        <w:spacing w:line="420" w:lineRule="exact"/>
        <w:jc w:val="lef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</w:p>
    <w:p>
      <w:pPr>
        <w:widowControl/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1、理论讲解,实例分析,专题讲授,互动答疑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2、主讲嘉宾均为行业内资深专家，欢迎来电咨询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3、完成全部培训课程者由协会颁发培训证书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szCs w:val="28"/>
        </w:rPr>
      </w:pPr>
    </w:p>
    <w:p>
      <w:pPr>
        <w:widowControl/>
        <w:tabs>
          <w:tab w:val="center" w:pos="4156"/>
        </w:tabs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/>
          <w:b/>
          <w:bCs/>
          <w:sz w:val="28"/>
          <w:szCs w:val="28"/>
        </w:rPr>
        <w:t>五、会议费用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会务费：2</w:t>
      </w:r>
      <w:r>
        <w:rPr>
          <w:rFonts w:hint="eastAsia" w:cs="宋体;SimSun"/>
          <w:b w:val="0"/>
          <w:szCs w:val="28"/>
        </w:rPr>
        <w:t>5</w:t>
      </w:r>
      <w:r>
        <w:rPr>
          <w:rFonts w:cs="宋体;SimSun"/>
          <w:b w:val="0"/>
          <w:szCs w:val="28"/>
        </w:rPr>
        <w:t>00元/人（会务费包括：培训、</w:t>
      </w:r>
      <w:r>
        <w:rPr>
          <w:rFonts w:hint="eastAsia" w:cs="宋体;SimSun"/>
          <w:b w:val="0"/>
          <w:szCs w:val="28"/>
        </w:rPr>
        <w:t>茶歇、专家、场地、</w:t>
      </w:r>
      <w:r>
        <w:rPr>
          <w:rFonts w:cs="宋体;SimSun"/>
          <w:b w:val="0"/>
          <w:szCs w:val="28"/>
        </w:rPr>
        <w:t>研讨、资料等）；</w:t>
      </w:r>
      <w:r>
        <w:rPr>
          <w:rFonts w:hint="eastAsia" w:cs="宋体;SimSun"/>
          <w:b w:val="0"/>
          <w:szCs w:val="28"/>
        </w:rPr>
        <w:t>住宿</w:t>
      </w:r>
      <w:r>
        <w:rPr>
          <w:rFonts w:cs="宋体;SimSun"/>
          <w:b w:val="0"/>
          <w:szCs w:val="28"/>
        </w:rPr>
        <w:t>统一安排，费用自理。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</w:p>
    <w:p>
      <w:pPr>
        <w:widowControl/>
        <w:numPr>
          <w:ilvl w:val="0"/>
          <w:numId w:val="2"/>
        </w:numPr>
        <w:tabs>
          <w:tab w:val="center" w:pos="4156"/>
        </w:tabs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/>
          <w:b/>
          <w:bCs/>
          <w:sz w:val="28"/>
          <w:szCs w:val="28"/>
        </w:rPr>
        <w:t>联系方式</w:t>
      </w:r>
    </w:p>
    <w:p>
      <w:pPr>
        <w:widowControl/>
        <w:numPr>
          <w:numId w:val="0"/>
        </w:numPr>
        <w:tabs>
          <w:tab w:val="center" w:pos="4156"/>
        </w:tabs>
        <w:spacing w:line="420" w:lineRule="exact"/>
        <w:ind w:firstLine="562" w:firstLineChars="200"/>
        <w:jc w:val="left"/>
        <w:rPr>
          <w:rFonts w:hint="default" w:ascii="黑体;SimHei" w:hAnsi="黑体;SimHei" w:eastAsia="黑体;SimHei"/>
          <w:b/>
          <w:bCs/>
          <w:sz w:val="28"/>
          <w:szCs w:val="28"/>
          <w:lang w:val="en-US" w:eastAsia="zh-CN"/>
        </w:rPr>
      </w:pPr>
      <w:r>
        <w:rPr>
          <w:rFonts w:hint="eastAsia" w:ascii="黑体;SimHei" w:hAnsi="黑体;SimHei" w:eastAsia="黑体;SimHei"/>
          <w:b/>
          <w:bCs/>
          <w:sz w:val="28"/>
          <w:szCs w:val="28"/>
          <w:lang w:eastAsia="zh-CN"/>
        </w:rPr>
        <w:t>联系人：马超</w:t>
      </w:r>
      <w:r>
        <w:rPr>
          <w:rFonts w:hint="eastAsia" w:ascii="黑体;SimHei" w:hAnsi="黑体;SimHei" w:eastAsia="黑体;SimHei"/>
          <w:b/>
          <w:bCs/>
          <w:sz w:val="28"/>
          <w:szCs w:val="28"/>
          <w:lang w:val="en-US" w:eastAsia="zh-CN"/>
        </w:rPr>
        <w:t>13240487419 邮箱：1683101345@qq.com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ascii="宋体" w:hAnsi="宋体" w:eastAsia="宋体" w:cs="宋体"/>
          <w:szCs w:val="28"/>
        </w:rPr>
      </w:pP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  <w:r>
        <w:rPr>
          <w:rFonts w:cs="宋体;SimSun"/>
          <w:szCs w:val="28"/>
        </w:rPr>
        <w:t>附件一：会议日程安排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  <w:r>
        <w:rPr>
          <w:rFonts w:cs="宋体;SimSun"/>
          <w:szCs w:val="28"/>
        </w:rPr>
        <w:t>附件二：参会报名表</w:t>
      </w:r>
    </w:p>
    <w:p>
      <w:pPr>
        <w:pStyle w:val="5"/>
        <w:tabs>
          <w:tab w:val="left" w:pos="1440"/>
          <w:tab w:val="left" w:pos="2100"/>
        </w:tabs>
        <w:spacing w:line="470" w:lineRule="exact"/>
        <w:ind w:firstLine="2670"/>
        <w:rPr>
          <w:rFonts w:cs="宋体;SimSun"/>
          <w:b w:val="0"/>
          <w:szCs w:val="28"/>
        </w:rPr>
      </w:pPr>
    </w:p>
    <w:p>
      <w:pPr>
        <w:pStyle w:val="5"/>
        <w:tabs>
          <w:tab w:val="left" w:pos="1440"/>
          <w:tab w:val="left" w:pos="2100"/>
        </w:tabs>
        <w:spacing w:line="470" w:lineRule="exact"/>
        <w:ind w:firstLine="2670"/>
      </w:pPr>
      <w:r>
        <w:t xml:space="preserve">中国化工企业管理协会医药化工专业委员会 </w:t>
      </w:r>
    </w:p>
    <w:p>
      <w:pPr>
        <w:pStyle w:val="5"/>
        <w:tabs>
          <w:tab w:val="left" w:pos="1440"/>
          <w:tab w:val="left" w:pos="2100"/>
        </w:tabs>
        <w:spacing w:line="470" w:lineRule="exact"/>
      </w:pPr>
      <w:r>
        <w:rPr>
          <w:rFonts w:hint="eastAsia"/>
        </w:rPr>
        <w:t xml:space="preserve">                          </w:t>
      </w:r>
      <w:r>
        <w:t>二零一</w:t>
      </w:r>
      <w:r>
        <w:rPr>
          <w:rFonts w:hint="eastAsia"/>
        </w:rPr>
        <w:t>九</w:t>
      </w:r>
      <w:r>
        <w:t>年</w:t>
      </w:r>
      <w:r>
        <w:rPr>
          <w:rFonts w:hint="eastAsia"/>
        </w:rPr>
        <w:t>十一</w:t>
      </w:r>
      <w:r>
        <w:t>月</w:t>
      </w:r>
    </w:p>
    <w:p>
      <w:pPr>
        <w:widowControl/>
        <w:jc w:val="left"/>
        <w:rPr>
          <w:rFonts w:ascii="仿宋_GB2312;仿宋" w:hAnsi="仿宋_GB2312;仿宋" w:eastAsia="仿宋_GB2312;仿宋"/>
          <w:b/>
          <w:bCs/>
          <w:sz w:val="32"/>
          <w:szCs w:val="32"/>
        </w:rPr>
      </w:pPr>
      <w:r>
        <w:rPr>
          <w:rFonts w:ascii="仿宋_GB2312;仿宋" w:hAnsi="仿宋_GB2312;仿宋" w:eastAsia="仿宋_GB2312;仿宋"/>
          <w:b/>
          <w:bCs/>
          <w:sz w:val="32"/>
          <w:szCs w:val="32"/>
        </w:rPr>
        <w:br w:type="page"/>
      </w:r>
    </w:p>
    <w:p>
      <w:pPr>
        <w:widowControl/>
        <w:jc w:val="left"/>
        <w:rPr>
          <w:rFonts w:ascii="仿宋_GB2312;仿宋" w:hAnsi="仿宋_GB2312;仿宋" w:eastAsia="仿宋_GB2312;仿宋"/>
          <w:b/>
          <w:bCs/>
          <w:sz w:val="32"/>
          <w:szCs w:val="32"/>
        </w:rPr>
      </w:pPr>
      <w:r>
        <w:rPr>
          <w:rFonts w:ascii="仿宋_GB2312;仿宋" w:hAnsi="仿宋_GB2312;仿宋" w:eastAsia="仿宋_GB2312;仿宋"/>
          <w:b/>
          <w:bCs/>
          <w:sz w:val="32"/>
          <w:szCs w:val="32"/>
        </w:rPr>
        <w:t>附件一：日 程 安 排 表</w:t>
      </w:r>
    </w:p>
    <w:tbl>
      <w:tblPr>
        <w:tblStyle w:val="10"/>
        <w:tblW w:w="9849" w:type="dxa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818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89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kern w:val="0"/>
              </w:rPr>
            </w:pPr>
            <w:r>
              <w:rPr>
                <w:rFonts w:ascii="宋体;SimSun" w:hAnsi="宋体;SimSun" w:cs="宋体;SimSun"/>
                <w:b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13:30-17:30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pStyle w:val="113"/>
              <w:numPr>
                <w:ilvl w:val="0"/>
                <w:numId w:val="3"/>
              </w:numPr>
              <w:spacing w:line="259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新药法对委托生产的规定及带来的后续影响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对于外包，新药法及国内现行法律法规框架解析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配套法规解读：MAH上市许可持有人的定义及作用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配套法规解读：生产许可证的审批变更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委托过程中产生的权责划分及质量监督责任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可能的行政及刑事处罚及适用情况</w:t>
            </w:r>
          </w:p>
          <w:p>
            <w:pPr>
              <w:pStyle w:val="113"/>
              <w:numPr>
                <w:ilvl w:val="0"/>
                <w:numId w:val="3"/>
              </w:numPr>
              <w:spacing w:line="259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委托生产的流程管理</w:t>
            </w:r>
          </w:p>
          <w:p>
            <w:pPr>
              <w:pStyle w:val="113"/>
              <w:numPr>
                <w:ilvl w:val="0"/>
                <w:numId w:val="5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委托生产的企业决策策略</w:t>
            </w:r>
          </w:p>
          <w:p>
            <w:pPr>
              <w:pStyle w:val="113"/>
              <w:numPr>
                <w:ilvl w:val="1"/>
                <w:numId w:val="5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费用比较</w:t>
            </w:r>
          </w:p>
          <w:p>
            <w:pPr>
              <w:pStyle w:val="113"/>
              <w:numPr>
                <w:ilvl w:val="1"/>
                <w:numId w:val="5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时间比较</w:t>
            </w:r>
          </w:p>
          <w:p>
            <w:pPr>
              <w:pStyle w:val="113"/>
              <w:numPr>
                <w:ilvl w:val="1"/>
                <w:numId w:val="5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对于MAH如何灵活适应新法规环境</w:t>
            </w:r>
          </w:p>
          <w:p>
            <w:pPr>
              <w:pStyle w:val="113"/>
              <w:numPr>
                <w:ilvl w:val="0"/>
                <w:numId w:val="5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委托生产的质量协议，如何确认权责</w:t>
            </w:r>
          </w:p>
          <w:p>
            <w:pPr>
              <w:pStyle w:val="113"/>
              <w:numPr>
                <w:ilvl w:val="0"/>
                <w:numId w:val="5"/>
              </w:numPr>
              <w:spacing w:line="259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未来可应用案例及场景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三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企业对于技术转移的管理</w:t>
            </w:r>
          </w:p>
          <w:p>
            <w:pPr>
              <w:pStyle w:val="113"/>
              <w:numPr>
                <w:ilvl w:val="0"/>
                <w:numId w:val="6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国内外技术转移的法规以及对国内的启示作用</w:t>
            </w:r>
          </w:p>
          <w:p>
            <w:pPr>
              <w:pStyle w:val="113"/>
              <w:numPr>
                <w:ilvl w:val="1"/>
                <w:numId w:val="6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什么是技术转移</w:t>
            </w:r>
          </w:p>
          <w:p>
            <w:pPr>
              <w:pStyle w:val="113"/>
              <w:numPr>
                <w:ilvl w:val="1"/>
                <w:numId w:val="6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国外现行技术转移相关法规和指导原则</w:t>
            </w:r>
          </w:p>
          <w:p>
            <w:pPr>
              <w:pStyle w:val="113"/>
              <w:numPr>
                <w:ilvl w:val="0"/>
                <w:numId w:val="6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作为MAH，技术转移应如何管理</w:t>
            </w:r>
          </w:p>
          <w:p>
            <w:p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主讲老师：老师从事药监工作二十多年 国家高级检查员 老师在曾在药企主持工作 全程参与新药法修订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6"/>
              <w:spacing w:line="259" w:lineRule="auto"/>
              <w:ind w:left="425" w:firstLine="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116"/>
              <w:spacing w:line="259" w:lineRule="auto"/>
              <w:ind w:firstLine="0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二、国内企业的委托生产和技术转移的实施应用</w:t>
            </w:r>
          </w:p>
          <w:p>
            <w:pPr>
              <w:pStyle w:val="113"/>
              <w:numPr>
                <w:ilvl w:val="0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委托生产和技术转移流程建立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技术转移的项目管理如何制定关键要素：职责、资源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MAH应提供的内容、清单、方案、安全及可交付成果</w:t>
            </w:r>
          </w:p>
          <w:p>
            <w:pPr>
              <w:pStyle w:val="113"/>
              <w:numPr>
                <w:ilvl w:val="0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案例：制剂的委托生产及技术转移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如何把控合作企业的GMP要求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应提供的清单、方案、报告及验证文件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工艺转移过程中，常见的问题及关系点处理</w:t>
            </w:r>
          </w:p>
          <w:p>
            <w:pPr>
              <w:pStyle w:val="113"/>
              <w:numPr>
                <w:ilvl w:val="0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案件：分析方法的技术转移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分析方法技术转移的基本流程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分析方法的开发、确认、验证及技术转移区别</w:t>
            </w:r>
          </w:p>
          <w:p>
            <w:pPr>
              <w:pStyle w:val="113"/>
              <w:numPr>
                <w:ilvl w:val="1"/>
                <w:numId w:val="7"/>
              </w:numPr>
              <w:spacing w:line="259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分析方法转移过程中应如何订立标准</w:t>
            </w:r>
          </w:p>
          <w:p>
            <w:pPr>
              <w:pStyle w:val="116"/>
              <w:spacing w:line="259" w:lineRule="auto"/>
              <w:ind w:firstLine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主讲老师：丁老师 曾任职于国内大型药企运营管理部副总经理 是集团质量受权人 MAH项目实施主要负责人 熟悉欧美及国内法规，有20年药物研发、工艺开发、生产管理的丰富实践经验。</w:t>
            </w:r>
          </w:p>
          <w:p>
            <w:pPr>
              <w:pStyle w:val="116"/>
              <w:spacing w:line="259" w:lineRule="auto"/>
              <w:ind w:firstLine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黑体;SimHei" w:hAnsi="黑体;SimHei" w:eastAsia="黑体;SimHei"/>
          <w:b/>
          <w:sz w:val="28"/>
        </w:rPr>
      </w:pPr>
    </w:p>
    <w:p>
      <w:pPr>
        <w:rPr>
          <w:b/>
          <w:sz w:val="36"/>
          <w:szCs w:val="36"/>
        </w:rPr>
      </w:pPr>
      <w:r>
        <w:rPr>
          <w:b/>
          <w:sz w:val="28"/>
          <w:szCs w:val="28"/>
        </w:rPr>
        <w:t>附件二</w:t>
      </w:r>
      <w:r>
        <w:rPr>
          <w:b/>
          <w:sz w:val="36"/>
          <w:szCs w:val="36"/>
        </w:rPr>
        <w:t>：</w:t>
      </w:r>
    </w:p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cs="仿宋"/>
          <w:color w:val="000000"/>
          <w:sz w:val="28"/>
          <w:szCs w:val="28"/>
        </w:rPr>
        <w:t>2019新药法委托生产及工艺转移管理与应用专题培训班</w:t>
      </w:r>
      <w:r>
        <w:rPr>
          <w:rFonts w:hint="eastAsia" w:ascii="仿宋_GB2312" w:eastAsia="仿宋_GB2312"/>
          <w:b/>
          <w:sz w:val="32"/>
          <w:szCs w:val="32"/>
        </w:rPr>
        <w:t>---回执表</w:t>
      </w:r>
    </w:p>
    <w:tbl>
      <w:tblPr>
        <w:tblStyle w:val="10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</w:t>
            </w:r>
            <w:r>
              <w:rPr>
                <w:rFonts w:ascii="仿宋_GB2312" w:hAnsi="宋体" w:eastAsia="仿宋_GB2312"/>
                <w:sz w:val="28"/>
              </w:rPr>
              <w:t xml:space="preserve">  址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</w:t>
            </w:r>
            <w:r>
              <w:rPr>
                <w:rFonts w:ascii="仿宋_GB2312" w:hAnsi="宋体" w:eastAsia="仿宋_GB2312"/>
                <w:sz w:val="28"/>
              </w:rPr>
              <w:t xml:space="preserve">  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</w:t>
            </w:r>
            <w:r>
              <w:rPr>
                <w:rFonts w:ascii="仿宋_GB2312" w:hAnsi="宋体" w:eastAsia="仿宋_GB2312"/>
                <w:sz w:val="28"/>
              </w:rPr>
              <w:t xml:space="preserve">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传真/</w:t>
            </w:r>
            <w:r>
              <w:rPr>
                <w:rFonts w:ascii="Arial" w:hAnsi="Arial" w:eastAsia="仿宋_GB2312" w:cs="Arial"/>
                <w:sz w:val="28"/>
              </w:rPr>
              <w:t>E-mail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</w:t>
            </w:r>
            <w:r>
              <w:rPr>
                <w:rFonts w:ascii="仿宋_GB2312" w:hAnsi="宋体" w:eastAsia="仿宋_GB2312"/>
                <w:sz w:val="28"/>
              </w:rPr>
              <w:t xml:space="preserve">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住宿是否需要单间：是○ 否○ </w:t>
            </w:r>
          </w:p>
        </w:tc>
        <w:tc>
          <w:tcPr>
            <w:tcW w:w="4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入住时间：日至日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银行汇款至：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户  名：北京晟勋炎国际会议服务中心 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开户行：中国工商银行北京玉泉路支行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账  号：020 006 301 920 003 3830  </w:t>
            </w:r>
          </w:p>
          <w:p>
            <w:pPr>
              <w:pStyle w:val="5"/>
              <w:spacing w:line="440" w:lineRule="exact"/>
              <w:ind w:firstLine="0"/>
              <w:rPr>
                <w:rFonts w:hAnsi="宋体"/>
                <w:b w:val="0"/>
                <w:kern w:val="2"/>
                <w:szCs w:val="28"/>
              </w:rPr>
            </w:pPr>
            <w:r>
              <w:rPr>
                <w:rFonts w:hint="eastAsia" w:ascii="宋体" w:hAnsi="宋体" w:cs="宋体-PUA"/>
                <w:sz w:val="24"/>
              </w:rPr>
              <w:t>汇款请注明:  南京委托生产注册费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</w:rPr>
              <w:t>针对本次培训专题内容，结合实际工作中遇到哪些问题？以便我们反馈给老师并到会场交流探讨、答疑解惑。</w:t>
            </w: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问题1、</w:t>
            </w:r>
          </w:p>
          <w:p>
            <w:pPr>
              <w:pStyle w:val="5"/>
              <w:spacing w:line="440" w:lineRule="exact"/>
              <w:ind w:firstLine="0"/>
              <w:rPr>
                <w:rFonts w:ascii="宋体" w:hAnsi="宋体" w:eastAsia="宋体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问题2、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tabs>
                <w:tab w:val="center" w:pos="4156"/>
              </w:tabs>
              <w:spacing w:line="420" w:lineRule="exact"/>
              <w:ind w:firstLine="562" w:firstLineChars="200"/>
              <w:jc w:val="left"/>
              <w:rPr>
                <w:rFonts w:hint="default" w:ascii="黑体;SimHei" w:hAnsi="黑体;SimHei" w:eastAsia="黑体;SimHe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;SimHei" w:hAnsi="黑体;SimHei" w:eastAsia="黑体;SimHei"/>
                <w:b/>
                <w:bCs/>
                <w:sz w:val="28"/>
                <w:szCs w:val="28"/>
                <w:lang w:eastAsia="zh-CN"/>
              </w:rPr>
              <w:t>联系人：马超</w:t>
            </w:r>
            <w:r>
              <w:rPr>
                <w:rFonts w:hint="eastAsia" w:ascii="黑体;SimHei" w:hAnsi="黑体;SimHei" w:eastAsia="黑体;SimHei"/>
                <w:b/>
                <w:bCs/>
                <w:sz w:val="28"/>
                <w:szCs w:val="28"/>
                <w:lang w:val="en-US" w:eastAsia="zh-CN"/>
              </w:rPr>
              <w:t>13240487419 邮箱：1683101345@qq.com</w:t>
            </w:r>
          </w:p>
          <w:p>
            <w:pPr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/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jaVu Sans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微软雅黑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0000002"/>
    <w:multiLevelType w:val="multilevel"/>
    <w:tmpl w:val="00000002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6244055"/>
    <w:multiLevelType w:val="singleLevel"/>
    <w:tmpl w:val="4624405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000000"/>
    <w:rsid w:val="257D7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6">
    <w:name w:val="Balloon Text"/>
    <w:basedOn w:val="1"/>
    <w:link w:val="117"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9">
    <w:name w:val="List"/>
    <w:basedOn w:val="4"/>
    <w:qFormat/>
    <w:uiPriority w:val="0"/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4">
    <w:name w:val="WW8Num2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WW8Num3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</w:style>
  <w:style w:type="character" w:customStyle="1" w:styleId="51">
    <w:name w:val="WW8Num6z0"/>
    <w:qFormat/>
    <w:uiPriority w:val="0"/>
  </w:style>
  <w:style w:type="character" w:customStyle="1" w:styleId="52">
    <w:name w:val="WW8Num6z1"/>
    <w:qFormat/>
    <w:uiPriority w:val="0"/>
  </w:style>
  <w:style w:type="character" w:customStyle="1" w:styleId="53">
    <w:name w:val="WW8Num6z2"/>
    <w:qFormat/>
    <w:uiPriority w:val="0"/>
  </w:style>
  <w:style w:type="character" w:customStyle="1" w:styleId="54">
    <w:name w:val="WW8Num6z3"/>
    <w:qFormat/>
    <w:uiPriority w:val="0"/>
  </w:style>
  <w:style w:type="character" w:customStyle="1" w:styleId="55">
    <w:name w:val="WW8Num6z4"/>
    <w:qFormat/>
    <w:uiPriority w:val="0"/>
  </w:style>
  <w:style w:type="character" w:customStyle="1" w:styleId="56">
    <w:name w:val="WW8Num6z5"/>
    <w:qFormat/>
    <w:uiPriority w:val="0"/>
  </w:style>
  <w:style w:type="character" w:customStyle="1" w:styleId="57">
    <w:name w:val="WW8Num6z6"/>
    <w:qFormat/>
    <w:uiPriority w:val="0"/>
  </w:style>
  <w:style w:type="character" w:customStyle="1" w:styleId="58">
    <w:name w:val="WW8Num6z7"/>
    <w:qFormat/>
    <w:uiPriority w:val="0"/>
  </w:style>
  <w:style w:type="character" w:customStyle="1" w:styleId="59">
    <w:name w:val="WW8Num6z8"/>
    <w:qFormat/>
    <w:uiPriority w:val="0"/>
  </w:style>
  <w:style w:type="character" w:customStyle="1" w:styleId="60">
    <w:name w:val="WW8Num7z0"/>
    <w:qFormat/>
    <w:uiPriority w:val="0"/>
  </w:style>
  <w:style w:type="character" w:customStyle="1" w:styleId="61">
    <w:name w:val="WW8Num7z1"/>
    <w:qFormat/>
    <w:uiPriority w:val="0"/>
  </w:style>
  <w:style w:type="character" w:customStyle="1" w:styleId="62">
    <w:name w:val="WW8Num7z2"/>
    <w:qFormat/>
    <w:uiPriority w:val="0"/>
  </w:style>
  <w:style w:type="character" w:customStyle="1" w:styleId="63">
    <w:name w:val="WW8Num7z3"/>
    <w:qFormat/>
    <w:uiPriority w:val="0"/>
  </w:style>
  <w:style w:type="character" w:customStyle="1" w:styleId="64">
    <w:name w:val="WW8Num7z4"/>
    <w:qFormat/>
    <w:uiPriority w:val="0"/>
  </w:style>
  <w:style w:type="character" w:customStyle="1" w:styleId="65">
    <w:name w:val="WW8Num7z5"/>
    <w:qFormat/>
    <w:uiPriority w:val="0"/>
  </w:style>
  <w:style w:type="character" w:customStyle="1" w:styleId="66">
    <w:name w:val="WW8Num7z6"/>
    <w:qFormat/>
    <w:uiPriority w:val="0"/>
  </w:style>
  <w:style w:type="character" w:customStyle="1" w:styleId="67">
    <w:name w:val="WW8Num7z7"/>
    <w:qFormat/>
    <w:uiPriority w:val="0"/>
  </w:style>
  <w:style w:type="character" w:customStyle="1" w:styleId="68">
    <w:name w:val="WW8Num7z8"/>
    <w:qFormat/>
    <w:uiPriority w:val="0"/>
  </w:style>
  <w:style w:type="character" w:customStyle="1" w:styleId="69">
    <w:name w:val="WW8Num8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0">
    <w:name w:val="WW8Num8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1">
    <w:name w:val="WW8Num8z2"/>
    <w:qFormat/>
    <w:uiPriority w:val="0"/>
  </w:style>
  <w:style w:type="character" w:customStyle="1" w:styleId="72">
    <w:name w:val="WW8Num8z3"/>
    <w:qFormat/>
    <w:uiPriority w:val="0"/>
  </w:style>
  <w:style w:type="character" w:customStyle="1" w:styleId="73">
    <w:name w:val="WW8Num8z4"/>
    <w:qFormat/>
    <w:uiPriority w:val="0"/>
  </w:style>
  <w:style w:type="character" w:customStyle="1" w:styleId="74">
    <w:name w:val="WW8Num8z5"/>
    <w:qFormat/>
    <w:uiPriority w:val="0"/>
  </w:style>
  <w:style w:type="character" w:customStyle="1" w:styleId="75">
    <w:name w:val="WW8Num8z6"/>
    <w:qFormat/>
    <w:uiPriority w:val="0"/>
  </w:style>
  <w:style w:type="character" w:customStyle="1" w:styleId="76">
    <w:name w:val="WW8Num8z7"/>
    <w:qFormat/>
    <w:uiPriority w:val="0"/>
  </w:style>
  <w:style w:type="character" w:customStyle="1" w:styleId="77">
    <w:name w:val="WW8Num8z8"/>
    <w:qFormat/>
    <w:uiPriority w:val="0"/>
  </w:style>
  <w:style w:type="character" w:customStyle="1" w:styleId="78">
    <w:name w:val="WW8Num9z0"/>
    <w:qFormat/>
    <w:uiPriority w:val="0"/>
  </w:style>
  <w:style w:type="character" w:customStyle="1" w:styleId="79">
    <w:name w:val="WW8Num9z1"/>
    <w:qFormat/>
    <w:uiPriority w:val="0"/>
  </w:style>
  <w:style w:type="character" w:customStyle="1" w:styleId="80">
    <w:name w:val="WW8Num9z2"/>
    <w:qFormat/>
    <w:uiPriority w:val="0"/>
  </w:style>
  <w:style w:type="character" w:customStyle="1" w:styleId="81">
    <w:name w:val="WW8Num9z3"/>
    <w:qFormat/>
    <w:uiPriority w:val="0"/>
  </w:style>
  <w:style w:type="character" w:customStyle="1" w:styleId="82">
    <w:name w:val="WW8Num9z4"/>
    <w:qFormat/>
    <w:uiPriority w:val="0"/>
  </w:style>
  <w:style w:type="character" w:customStyle="1" w:styleId="83">
    <w:name w:val="WW8Num9z5"/>
    <w:qFormat/>
    <w:uiPriority w:val="0"/>
  </w:style>
  <w:style w:type="character" w:customStyle="1" w:styleId="84">
    <w:name w:val="WW8Num9z6"/>
    <w:qFormat/>
    <w:uiPriority w:val="0"/>
  </w:style>
  <w:style w:type="character" w:customStyle="1" w:styleId="85">
    <w:name w:val="WW8Num9z7"/>
    <w:qFormat/>
    <w:uiPriority w:val="0"/>
  </w:style>
  <w:style w:type="character" w:customStyle="1" w:styleId="86">
    <w:name w:val="WW8Num9z8"/>
    <w:qFormat/>
    <w:uiPriority w:val="0"/>
  </w:style>
  <w:style w:type="character" w:customStyle="1" w:styleId="87">
    <w:name w:val="WW8Num10z0"/>
    <w:qFormat/>
    <w:uiPriority w:val="0"/>
  </w:style>
  <w:style w:type="character" w:customStyle="1" w:styleId="88">
    <w:name w:val="WW8Num10z1"/>
    <w:qFormat/>
    <w:uiPriority w:val="0"/>
  </w:style>
  <w:style w:type="character" w:customStyle="1" w:styleId="89">
    <w:name w:val="WW8Num10z2"/>
    <w:qFormat/>
    <w:uiPriority w:val="0"/>
  </w:style>
  <w:style w:type="character" w:customStyle="1" w:styleId="90">
    <w:name w:val="WW8Num10z3"/>
    <w:qFormat/>
    <w:uiPriority w:val="0"/>
  </w:style>
  <w:style w:type="character" w:customStyle="1" w:styleId="91">
    <w:name w:val="WW8Num10z4"/>
    <w:qFormat/>
    <w:uiPriority w:val="0"/>
  </w:style>
  <w:style w:type="character" w:customStyle="1" w:styleId="92">
    <w:name w:val="WW8Num10z5"/>
    <w:qFormat/>
    <w:uiPriority w:val="0"/>
  </w:style>
  <w:style w:type="character" w:customStyle="1" w:styleId="93">
    <w:name w:val="WW8Num10z6"/>
    <w:qFormat/>
    <w:uiPriority w:val="0"/>
  </w:style>
  <w:style w:type="character" w:customStyle="1" w:styleId="94">
    <w:name w:val="WW8Num10z7"/>
    <w:qFormat/>
    <w:uiPriority w:val="0"/>
  </w:style>
  <w:style w:type="character" w:customStyle="1" w:styleId="95">
    <w:name w:val="WW8Num10z8"/>
    <w:qFormat/>
    <w:uiPriority w:val="0"/>
  </w:style>
  <w:style w:type="character" w:customStyle="1" w:styleId="96">
    <w:name w:val="WW8Num11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7">
    <w:name w:val="WW8Num11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8">
    <w:name w:val="WW8Num11z2"/>
    <w:qFormat/>
    <w:uiPriority w:val="0"/>
  </w:style>
  <w:style w:type="character" w:customStyle="1" w:styleId="99">
    <w:name w:val="WW8Num11z3"/>
    <w:qFormat/>
    <w:uiPriority w:val="0"/>
  </w:style>
  <w:style w:type="character" w:customStyle="1" w:styleId="100">
    <w:name w:val="WW8Num11z4"/>
    <w:qFormat/>
    <w:uiPriority w:val="0"/>
  </w:style>
  <w:style w:type="character" w:customStyle="1" w:styleId="101">
    <w:name w:val="WW8Num11z5"/>
    <w:qFormat/>
    <w:uiPriority w:val="0"/>
  </w:style>
  <w:style w:type="character" w:customStyle="1" w:styleId="102">
    <w:name w:val="WW8Num11z6"/>
    <w:qFormat/>
    <w:uiPriority w:val="0"/>
  </w:style>
  <w:style w:type="character" w:customStyle="1" w:styleId="103">
    <w:name w:val="WW8Num11z7"/>
    <w:qFormat/>
    <w:uiPriority w:val="0"/>
  </w:style>
  <w:style w:type="character" w:customStyle="1" w:styleId="104">
    <w:name w:val="WW8Num11z8"/>
    <w:qFormat/>
    <w:uiPriority w:val="0"/>
  </w:style>
  <w:style w:type="character" w:customStyle="1" w:styleId="105">
    <w:name w:val="正文文本缩进 字符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106">
    <w:name w:val="页眉 字符"/>
    <w:qFormat/>
    <w:uiPriority w:val="0"/>
    <w:rPr>
      <w:sz w:val="18"/>
      <w:szCs w:val="18"/>
    </w:rPr>
  </w:style>
  <w:style w:type="character" w:customStyle="1" w:styleId="107">
    <w:name w:val="页脚 字符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8">
    <w:name w:val="页眉 Char1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9">
    <w:name w:val="Strong Emphasis"/>
    <w:qFormat/>
    <w:uiPriority w:val="0"/>
    <w:rPr>
      <w:b/>
      <w:bCs/>
    </w:rPr>
  </w:style>
  <w:style w:type="paragraph" w:customStyle="1" w:styleId="110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11">
    <w:name w:val="Index"/>
    <w:basedOn w:val="1"/>
    <w:qFormat/>
    <w:uiPriority w:val="0"/>
    <w:pPr>
      <w:suppressLineNumbers/>
    </w:pPr>
  </w:style>
  <w:style w:type="paragraph" w:customStyle="1" w:styleId="112">
    <w:name w:val="列出段落1"/>
    <w:basedOn w:val="1"/>
    <w:qFormat/>
    <w:uiPriority w:val="0"/>
    <w:pPr>
      <w:ind w:firstLine="420"/>
    </w:pPr>
    <w:rPr>
      <w:rFonts w:ascii="Calibri" w:hAnsi="Calibri"/>
    </w:rPr>
  </w:style>
  <w:style w:type="paragraph" w:styleId="113">
    <w:name w:val="List Paragraph"/>
    <w:basedOn w:val="1"/>
    <w:qFormat/>
    <w:uiPriority w:val="0"/>
    <w:pPr>
      <w:ind w:firstLine="420"/>
    </w:pPr>
  </w:style>
  <w:style w:type="paragraph" w:customStyle="1" w:styleId="114">
    <w:name w:val="Table Contents"/>
    <w:basedOn w:val="1"/>
    <w:qFormat/>
    <w:uiPriority w:val="0"/>
    <w:pPr>
      <w:suppressLineNumbers/>
    </w:pPr>
  </w:style>
  <w:style w:type="paragraph" w:customStyle="1" w:styleId="115">
    <w:name w:val="Table Heading"/>
    <w:basedOn w:val="114"/>
    <w:qFormat/>
    <w:uiPriority w:val="0"/>
    <w:pPr>
      <w:jc w:val="center"/>
    </w:pPr>
    <w:rPr>
      <w:b/>
      <w:bCs/>
    </w:rPr>
  </w:style>
  <w:style w:type="paragraph" w:customStyle="1" w:styleId="116">
    <w:name w:val="列出段落2"/>
    <w:basedOn w:val="1"/>
    <w:qFormat/>
    <w:uiPriority w:val="0"/>
    <w:pPr>
      <w:ind w:firstLine="420"/>
    </w:pPr>
  </w:style>
  <w:style w:type="character" w:customStyle="1" w:styleId="117">
    <w:name w:val="批注框文本 Char"/>
    <w:basedOn w:val="11"/>
    <w:link w:val="6"/>
    <w:qFormat/>
    <w:uiPriority w:val="99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4</Pages>
  <Words>1447</Words>
  <Characters>1556</Characters>
  <Paragraphs>147</Paragraphs>
  <TotalTime>0</TotalTime>
  <ScaleCrop>false</ScaleCrop>
  <LinksUpToDate>false</LinksUpToDate>
  <CharactersWithSpaces>1631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2019-03-05T01:31:00Z</dcterms:created>
  <dc:creator>微软用户</dc:creator>
  <cp:lastModifiedBy>在路上</cp:lastModifiedBy>
  <dcterms:modified xsi:type="dcterms:W3CDTF">2019-11-29T09:15:57Z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